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EC88" w14:textId="77777777" w:rsidR="00912CF0" w:rsidRPr="00B92042" w:rsidRDefault="00912CF0" w:rsidP="00B92042">
      <w:pPr>
        <w:rPr>
          <w:rFonts w:ascii="Verdana" w:eastAsia="Times New Roman" w:hAnsi="Verdana"/>
          <w:b/>
          <w:bCs/>
          <w:sz w:val="22"/>
          <w:szCs w:val="22"/>
        </w:rPr>
      </w:pPr>
      <w:r w:rsidRPr="00B92042">
        <w:rPr>
          <w:rFonts w:ascii="Verdana" w:eastAsia="Times New Roman" w:hAnsi="Verdana"/>
          <w:b/>
          <w:bCs/>
          <w:sz w:val="22"/>
          <w:szCs w:val="22"/>
        </w:rPr>
        <w:t>Frequently Asked Questions (FAQs)</w:t>
      </w:r>
    </w:p>
    <w:p w14:paraId="4C2261F7" w14:textId="77777777" w:rsidR="00912CF0" w:rsidRPr="00B92042" w:rsidRDefault="00912CF0" w:rsidP="00912CF0">
      <w:pPr>
        <w:jc w:val="center"/>
        <w:rPr>
          <w:rFonts w:ascii="Verdana" w:eastAsia="Times New Roman" w:hAnsi="Verdana"/>
          <w:b/>
          <w:bCs/>
          <w:sz w:val="22"/>
          <w:szCs w:val="22"/>
        </w:rPr>
      </w:pPr>
    </w:p>
    <w:p w14:paraId="3C11D9A6" w14:textId="0C1EE8B8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What is this residency opportunity?</w:t>
      </w:r>
    </w:p>
    <w:p w14:paraId="13D790A5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This residency supports artists to develop and deliver high-quality early childhood arts experiences for children aged 0–5 and their caregivers who are living in homeless accommodation across Dublin.</w:t>
      </w:r>
    </w:p>
    <w:p w14:paraId="6AB4A431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</w:p>
    <w:p w14:paraId="4FD4CD87" w14:textId="302B2A4E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Who can apply?</w:t>
      </w:r>
    </w:p>
    <w:p w14:paraId="31DD87BD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Applications are open to artists working in any artform who have experience working with young children experiencing disadvantage. Artists are expected to collaborate with at least one other artist and/or creative practitioner during the residency.</w:t>
      </w:r>
    </w:p>
    <w:p w14:paraId="74E01143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</w:p>
    <w:p w14:paraId="1AAD3361" w14:textId="1D704DD9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 xml:space="preserve"> Do I need to have experience in early childhood arts?</w:t>
      </w:r>
    </w:p>
    <w:p w14:paraId="66182BF7" w14:textId="57103D46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Yes. Applicants should demonstrate experience creating arts experiences with children aged 0–5, particularly those experiencing disadvantage.</w:t>
      </w:r>
    </w:p>
    <w:p w14:paraId="2FFBC155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</w:p>
    <w:p w14:paraId="47E276E5" w14:textId="19A97250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 xml:space="preserve">How many children will I be working with in the homeless hub? </w:t>
      </w:r>
    </w:p>
    <w:p w14:paraId="6C6ABAE9" w14:textId="3456D08D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 xml:space="preserve">Each homeless hub will have a different number of children aged 0-5 years. In partnership with the hub and the Local Authority/CYPSC, numbers based on age will be agreed. This will be a part of the research and development phase. </w:t>
      </w:r>
    </w:p>
    <w:p w14:paraId="393DD1DF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</w:p>
    <w:p w14:paraId="612DE063" w14:textId="2FF9DD27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How many residency awards are available?</w:t>
      </w:r>
    </w:p>
    <w:p w14:paraId="380615F3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There are five residency awards available, one in each of the following areas:</w:t>
      </w:r>
    </w:p>
    <w:p w14:paraId="5C84E45E" w14:textId="77777777" w:rsidR="00912CF0" w:rsidRPr="00B92042" w:rsidRDefault="00912CF0" w:rsidP="00B92042">
      <w:pPr>
        <w:pStyle w:val="ListParagraph"/>
        <w:numPr>
          <w:ilvl w:val="0"/>
          <w:numId w:val="2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Dún Laoghaire–Rathdown</w:t>
      </w:r>
    </w:p>
    <w:p w14:paraId="7139C2DC" w14:textId="77777777" w:rsidR="00912CF0" w:rsidRPr="00B92042" w:rsidRDefault="00912CF0" w:rsidP="00B92042">
      <w:pPr>
        <w:pStyle w:val="ListParagraph"/>
        <w:numPr>
          <w:ilvl w:val="0"/>
          <w:numId w:val="2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Dublin City North</w:t>
      </w:r>
    </w:p>
    <w:p w14:paraId="4FF57485" w14:textId="77777777" w:rsidR="00912CF0" w:rsidRPr="00B92042" w:rsidRDefault="00912CF0" w:rsidP="00B92042">
      <w:pPr>
        <w:pStyle w:val="ListParagraph"/>
        <w:numPr>
          <w:ilvl w:val="0"/>
          <w:numId w:val="2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Dublin City South</w:t>
      </w:r>
    </w:p>
    <w:p w14:paraId="1684033C" w14:textId="77777777" w:rsidR="00912CF0" w:rsidRPr="00B92042" w:rsidRDefault="00912CF0" w:rsidP="00B92042">
      <w:pPr>
        <w:pStyle w:val="ListParagraph"/>
        <w:numPr>
          <w:ilvl w:val="0"/>
          <w:numId w:val="2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South Dublin</w:t>
      </w:r>
    </w:p>
    <w:p w14:paraId="617CE45E" w14:textId="77777777" w:rsidR="00912CF0" w:rsidRPr="00B92042" w:rsidRDefault="00912CF0" w:rsidP="00B92042">
      <w:pPr>
        <w:pStyle w:val="ListParagraph"/>
        <w:numPr>
          <w:ilvl w:val="0"/>
          <w:numId w:val="2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Fingal</w:t>
      </w:r>
    </w:p>
    <w:p w14:paraId="5A6386F7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</w:p>
    <w:p w14:paraId="0F51E69C" w14:textId="5E70F923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How much funding is available?</w:t>
      </w:r>
    </w:p>
    <w:p w14:paraId="540896D5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Each residency has a maximum budget of €13,000 to cover research, development, delivery, artist fees, collaborator fees, materials and other project costs.</w:t>
      </w:r>
    </w:p>
    <w:p w14:paraId="6BE665E0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</w:p>
    <w:p w14:paraId="688F5101" w14:textId="4206575B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What does the budget need to cover?</w:t>
      </w:r>
    </w:p>
    <w:p w14:paraId="5D237538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The budget should include:</w:t>
      </w:r>
    </w:p>
    <w:p w14:paraId="3454C7BA" w14:textId="73271E3B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 xml:space="preserve">Your artist </w:t>
      </w:r>
      <w:r w:rsidR="00B92042" w:rsidRPr="00B92042">
        <w:rPr>
          <w:rFonts w:ascii="Verdana" w:eastAsia="Times New Roman" w:hAnsi="Verdana"/>
          <w:sz w:val="22"/>
          <w:szCs w:val="22"/>
        </w:rPr>
        <w:t>fees</w:t>
      </w:r>
    </w:p>
    <w:p w14:paraId="337EF101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Fees for collaborators</w:t>
      </w:r>
    </w:p>
    <w:p w14:paraId="27F08350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Materials and equipment</w:t>
      </w:r>
    </w:p>
    <w:p w14:paraId="50EA66A2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Travel (if applicable)</w:t>
      </w:r>
    </w:p>
    <w:p w14:paraId="4B703522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Any other project-related costs</w:t>
      </w:r>
    </w:p>
    <w:p w14:paraId="0B6C8E98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</w:p>
    <w:p w14:paraId="2AB342DA" w14:textId="4B1697B0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When does the residency take place?</w:t>
      </w:r>
    </w:p>
    <w:p w14:paraId="3A187572" w14:textId="5AA1C191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lastRenderedPageBreak/>
        <w:t xml:space="preserve">Research and development </w:t>
      </w:r>
      <w:r w:rsidR="00B92042" w:rsidRPr="00B92042">
        <w:rPr>
          <w:rFonts w:ascii="Verdana" w:eastAsia="Times New Roman" w:hAnsi="Verdana"/>
          <w:sz w:val="22"/>
          <w:szCs w:val="22"/>
        </w:rPr>
        <w:t>begin</w:t>
      </w:r>
      <w:r w:rsidRPr="00B92042">
        <w:rPr>
          <w:rFonts w:ascii="Verdana" w:eastAsia="Times New Roman" w:hAnsi="Verdana"/>
          <w:sz w:val="22"/>
          <w:szCs w:val="22"/>
        </w:rPr>
        <w:t xml:space="preserve"> in November 2026, with the residency completed by June 2027.</w:t>
      </w:r>
    </w:p>
    <w:p w14:paraId="4B0470A8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</w:p>
    <w:p w14:paraId="575E5E7E" w14:textId="719D4F9B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How many sessions do I need to deliver?</w:t>
      </w:r>
    </w:p>
    <w:p w14:paraId="5A5BFDEF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Artists are expected to deliver a minimum of 10 artistic engagements during the residency.</w:t>
      </w:r>
    </w:p>
    <w:p w14:paraId="5895CBA0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</w:p>
    <w:p w14:paraId="1629A4D3" w14:textId="77C39658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Will I know the accommodation service before applying?</w:t>
      </w:r>
    </w:p>
    <w:p w14:paraId="56A4F4D0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Artists will be matched with an assigned homeless accommodation service after selection, based on the local authority area.</w:t>
      </w:r>
    </w:p>
    <w:p w14:paraId="5D6BF0FD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</w:p>
    <w:p w14:paraId="1150B851" w14:textId="31CC4D64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Can I choose where I'd like to work?</w:t>
      </w:r>
    </w:p>
    <w:p w14:paraId="60BBAC5A" w14:textId="17695728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Applicants should rank the five local authority areas in order of preference. While preferences will be considered, they cannot be guaranteed.</w:t>
      </w:r>
    </w:p>
    <w:p w14:paraId="08B8FB66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</w:p>
    <w:p w14:paraId="1ACFE9FD" w14:textId="7E6A1049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  <w:highlight w:val="yellow"/>
        </w:rPr>
      </w:pPr>
      <w:r w:rsidRPr="00B92042">
        <w:rPr>
          <w:rFonts w:ascii="Verdana" w:eastAsia="Times New Roman" w:hAnsi="Verdana"/>
          <w:sz w:val="22"/>
          <w:szCs w:val="22"/>
          <w:highlight w:val="yellow"/>
        </w:rPr>
        <w:t>Is collaboration required?</w:t>
      </w:r>
    </w:p>
    <w:p w14:paraId="35505AF7" w14:textId="112F1305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  <w:highlight w:val="yellow"/>
        </w:rPr>
        <w:t>The residency is designed to encourage collaborative practice. Collaborations can be once off or throughout the full residency. Applications should identify collaborators and explain their roles within the project.</w:t>
      </w:r>
    </w:p>
    <w:p w14:paraId="03E5F7A9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</w:p>
    <w:p w14:paraId="66BE7737" w14:textId="158C48C5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Is there an expectation to produce a final exhibition or public performance?</w:t>
      </w:r>
    </w:p>
    <w:p w14:paraId="33F06FBE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No. There is no requirement for a public outcome or public sharing of documentation.</w:t>
      </w:r>
    </w:p>
    <w:p w14:paraId="3B7EE8B0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</w:p>
    <w:p w14:paraId="29FBA20B" w14:textId="71894EFC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What kind of documentation is expected?</w:t>
      </w:r>
    </w:p>
    <w:p w14:paraId="3584478E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Any documentation should be ethical, appropriate for working with young children and families, and approved in advance by the project partners and accommodation service.</w:t>
      </w:r>
    </w:p>
    <w:p w14:paraId="47A1E56F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</w:p>
    <w:p w14:paraId="2EB9D7F9" w14:textId="44185CE4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Will artists receive support during the residency?</w:t>
      </w:r>
    </w:p>
    <w:p w14:paraId="2A9F2694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Yes. Artists will receive:</w:t>
      </w:r>
    </w:p>
    <w:p w14:paraId="3697BB4E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Support from Local Authority Arts Offices, CYPSC partners and accommodation services.</w:t>
      </w:r>
    </w:p>
    <w:p w14:paraId="75F97A5F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Three facilitated peer learning sessions with fellow residency artists.</w:t>
      </w:r>
    </w:p>
    <w:p w14:paraId="75FCE34E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</w:p>
    <w:p w14:paraId="7ED882F2" w14:textId="2287B104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Do I need Garda Vetting?</w:t>
      </w:r>
    </w:p>
    <w:p w14:paraId="5324889B" w14:textId="3792EF12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 xml:space="preserve">Yes. Full Garda Vetting is a legal requirement before working with children and vulnerable people and will be done through the Local Authority you are working in. </w:t>
      </w:r>
    </w:p>
    <w:p w14:paraId="2B6588E8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</w:p>
    <w:p w14:paraId="3B99848A" w14:textId="2091D71B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Do I need insurance?</w:t>
      </w:r>
    </w:p>
    <w:p w14:paraId="0B7E80FF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Successful applicants and collaborators must hold Public Liability Insurance with cover of up to €6.5 million.</w:t>
      </w:r>
    </w:p>
    <w:p w14:paraId="07E13F43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</w:p>
    <w:p w14:paraId="0F276878" w14:textId="1B0817FD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lastRenderedPageBreak/>
        <w:t>How will applications be assessed?</w:t>
      </w:r>
    </w:p>
    <w:p w14:paraId="75DF6F0D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Applications will be scored on:</w:t>
      </w:r>
    </w:p>
    <w:p w14:paraId="17B42D0D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Previous experience working with early years children (40%)</w:t>
      </w:r>
    </w:p>
    <w:p w14:paraId="763111C7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Quality and feasibility of the proposal and budget (40%)</w:t>
      </w:r>
    </w:p>
    <w:p w14:paraId="5383F920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Experience working with children experiencing disadvantage (20%)</w:t>
      </w:r>
    </w:p>
    <w:p w14:paraId="515E26A1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</w:p>
    <w:p w14:paraId="08F927F4" w14:textId="42265CC6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What is the minimum score needed to be considered?</w:t>
      </w:r>
    </w:p>
    <w:p w14:paraId="597E819F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Applications must achieve a minimum score of 70 out of 100.</w:t>
      </w:r>
    </w:p>
    <w:p w14:paraId="3330D51A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</w:p>
    <w:p w14:paraId="653FA3A0" w14:textId="7B6993E3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What should I include with my application?</w:t>
      </w:r>
    </w:p>
    <w:p w14:paraId="55751C6C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Your application should include:</w:t>
      </w:r>
    </w:p>
    <w:p w14:paraId="08D03946" w14:textId="77777777" w:rsidR="00912CF0" w:rsidRPr="00B92042" w:rsidRDefault="00912CF0" w:rsidP="00B92042">
      <w:pPr>
        <w:pStyle w:val="ListParagraph"/>
        <w:numPr>
          <w:ilvl w:val="0"/>
          <w:numId w:val="3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CVs for yourself and collaborators</w:t>
      </w:r>
    </w:p>
    <w:p w14:paraId="3731E455" w14:textId="77777777" w:rsidR="00912CF0" w:rsidRPr="00B92042" w:rsidRDefault="00912CF0" w:rsidP="00B92042">
      <w:pPr>
        <w:pStyle w:val="ListParagraph"/>
        <w:numPr>
          <w:ilvl w:val="0"/>
          <w:numId w:val="3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An outline proposal</w:t>
      </w:r>
    </w:p>
    <w:p w14:paraId="101169AC" w14:textId="77777777" w:rsidR="00912CF0" w:rsidRPr="00B92042" w:rsidRDefault="00912CF0" w:rsidP="00B92042">
      <w:pPr>
        <w:pStyle w:val="ListParagraph"/>
        <w:numPr>
          <w:ilvl w:val="0"/>
          <w:numId w:val="3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An indicative budget</w:t>
      </w:r>
    </w:p>
    <w:p w14:paraId="070FA854" w14:textId="77777777" w:rsidR="00912CF0" w:rsidRPr="00B92042" w:rsidRDefault="00912CF0" w:rsidP="00B92042">
      <w:pPr>
        <w:pStyle w:val="ListParagraph"/>
        <w:numPr>
          <w:ilvl w:val="0"/>
          <w:numId w:val="3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Examples of previous work</w:t>
      </w:r>
    </w:p>
    <w:p w14:paraId="7EB964DF" w14:textId="77777777" w:rsidR="00912CF0" w:rsidRPr="00B92042" w:rsidRDefault="00912CF0" w:rsidP="00B92042">
      <w:pPr>
        <w:pStyle w:val="ListParagraph"/>
        <w:numPr>
          <w:ilvl w:val="0"/>
          <w:numId w:val="3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Two referees (one should have worked with you on a similar project)</w:t>
      </w:r>
    </w:p>
    <w:p w14:paraId="295FAE5B" w14:textId="77777777" w:rsidR="00912CF0" w:rsidRPr="00B92042" w:rsidRDefault="00912CF0" w:rsidP="00B92042">
      <w:pPr>
        <w:pStyle w:val="ListParagraph"/>
        <w:numPr>
          <w:ilvl w:val="0"/>
          <w:numId w:val="3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Your preferred local authority areas</w:t>
      </w:r>
    </w:p>
    <w:p w14:paraId="1686DD8A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</w:p>
    <w:p w14:paraId="56B0AFE6" w14:textId="533E271F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When is the application deadline?</w:t>
      </w:r>
    </w:p>
    <w:p w14:paraId="5358F866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Applications must be submitted by 2:00 pm on Wednesday, 2 September 2026.</w:t>
      </w:r>
    </w:p>
    <w:p w14:paraId="0F6EEC12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</w:p>
    <w:p w14:paraId="173E45D6" w14:textId="43E66003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When can I ask questions about the residency?</w:t>
      </w:r>
    </w:p>
    <w:p w14:paraId="4B09E1FB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Questions can be submitted until 2:00 pm on 19 August 2026.</w:t>
      </w:r>
    </w:p>
    <w:p w14:paraId="4FC37DA0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</w:p>
    <w:p w14:paraId="552F3FB6" w14:textId="22DB9D84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When will applicants be notified?</w:t>
      </w:r>
    </w:p>
    <w:p w14:paraId="10AC07AE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Applicants will be informed of the outcome by email during the week beginning 28 September 2026.</w:t>
      </w:r>
    </w:p>
    <w:p w14:paraId="24463171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</w:p>
    <w:p w14:paraId="32AF5A88" w14:textId="0234192F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How are payments made?</w:t>
      </w:r>
    </w:p>
    <w:p w14:paraId="0C30CF5A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Successful applicants receive:</w:t>
      </w:r>
    </w:p>
    <w:p w14:paraId="478F6F29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45% of the funding in 2026</w:t>
      </w:r>
    </w:p>
    <w:p w14:paraId="64A84BF6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55% in 2027</w:t>
      </w:r>
    </w:p>
    <w:p w14:paraId="277714EE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The lead artist is responsible for managing the budget and paying collaborators.</w:t>
      </w:r>
    </w:p>
    <w:p w14:paraId="39008B48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</w:p>
    <w:p w14:paraId="1E6AABE8" w14:textId="657BC8EE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 xml:space="preserve"> What kinds of arts projects are encouraged?</w:t>
      </w:r>
    </w:p>
    <w:p w14:paraId="7D5194A8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The residency welcomes projects across all artforms that are imaginative, inclusive and responsive to the needs of young children and their caregivers. Projects should prioritise meaningful participation, creativity and relationship-building rather than producing finished artworks.</w:t>
      </w:r>
    </w:p>
    <w:p w14:paraId="521E6146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</w:p>
    <w:p w14:paraId="3DC0E5C5" w14:textId="5A2F4513" w:rsidR="00912CF0" w:rsidRPr="00B92042" w:rsidRDefault="00912CF0" w:rsidP="00912CF0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What are the selection panel looking for in a proposal?</w:t>
      </w:r>
    </w:p>
    <w:p w14:paraId="2C3B9068" w14:textId="77777777" w:rsidR="00912CF0" w:rsidRPr="00B92042" w:rsidRDefault="00912CF0" w:rsidP="00912CF0">
      <w:p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Strong proposals will demonstrate:</w:t>
      </w:r>
    </w:p>
    <w:p w14:paraId="041FB775" w14:textId="77777777" w:rsidR="00912CF0" w:rsidRPr="00B92042" w:rsidRDefault="00912CF0" w:rsidP="00B92042">
      <w:pPr>
        <w:pStyle w:val="ListParagraph"/>
        <w:numPr>
          <w:ilvl w:val="0"/>
          <w:numId w:val="4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A child-centred approach</w:t>
      </w:r>
    </w:p>
    <w:p w14:paraId="4FCDB688" w14:textId="77777777" w:rsidR="00912CF0" w:rsidRPr="00B92042" w:rsidRDefault="00912CF0" w:rsidP="00B92042">
      <w:pPr>
        <w:pStyle w:val="ListParagraph"/>
        <w:numPr>
          <w:ilvl w:val="0"/>
          <w:numId w:val="4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lastRenderedPageBreak/>
        <w:t>Experience working with young children</w:t>
      </w:r>
    </w:p>
    <w:p w14:paraId="21E04DA2" w14:textId="77777777" w:rsidR="00912CF0" w:rsidRPr="00B92042" w:rsidRDefault="00912CF0" w:rsidP="00B92042">
      <w:pPr>
        <w:pStyle w:val="ListParagraph"/>
        <w:numPr>
          <w:ilvl w:val="0"/>
          <w:numId w:val="4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Sensitivity to the context of homelessness</w:t>
      </w:r>
    </w:p>
    <w:p w14:paraId="350F0B9B" w14:textId="77777777" w:rsidR="00912CF0" w:rsidRPr="00B92042" w:rsidRDefault="00912CF0" w:rsidP="00B92042">
      <w:pPr>
        <w:pStyle w:val="ListParagraph"/>
        <w:numPr>
          <w:ilvl w:val="0"/>
          <w:numId w:val="4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Realistic planning and budgeting</w:t>
      </w:r>
    </w:p>
    <w:p w14:paraId="1D3D054A" w14:textId="77777777" w:rsidR="00912CF0" w:rsidRPr="00B92042" w:rsidRDefault="00912CF0" w:rsidP="00B92042">
      <w:pPr>
        <w:pStyle w:val="ListParagraph"/>
        <w:numPr>
          <w:ilvl w:val="0"/>
          <w:numId w:val="4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Collaborative practice</w:t>
      </w:r>
    </w:p>
    <w:p w14:paraId="4900A267" w14:textId="77777777" w:rsidR="00912CF0" w:rsidRPr="00B92042" w:rsidRDefault="00912CF0" w:rsidP="00B92042">
      <w:pPr>
        <w:pStyle w:val="ListParagraph"/>
        <w:numPr>
          <w:ilvl w:val="0"/>
          <w:numId w:val="4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Creative and engaging artistic ideas</w:t>
      </w:r>
    </w:p>
    <w:p w14:paraId="38631DF0" w14:textId="77777777" w:rsidR="00912CF0" w:rsidRPr="00B92042" w:rsidRDefault="00912CF0" w:rsidP="00B92042">
      <w:pPr>
        <w:pStyle w:val="ListParagraph"/>
        <w:numPr>
          <w:ilvl w:val="0"/>
          <w:numId w:val="4"/>
        </w:numPr>
        <w:rPr>
          <w:rFonts w:ascii="Verdana" w:eastAsia="Times New Roman" w:hAnsi="Verdana"/>
          <w:sz w:val="22"/>
          <w:szCs w:val="22"/>
        </w:rPr>
      </w:pPr>
      <w:r w:rsidRPr="00B92042">
        <w:rPr>
          <w:rFonts w:ascii="Verdana" w:eastAsia="Times New Roman" w:hAnsi="Verdana"/>
          <w:sz w:val="22"/>
          <w:szCs w:val="22"/>
        </w:rPr>
        <w:t>An understanding of working in shared living environments</w:t>
      </w:r>
    </w:p>
    <w:p w14:paraId="632BCBDE" w14:textId="77777777" w:rsidR="00B92042" w:rsidRPr="00B92042" w:rsidRDefault="00B92042" w:rsidP="00B92042">
      <w:pPr>
        <w:ind w:left="360"/>
        <w:rPr>
          <w:rFonts w:ascii="Verdana" w:hAnsi="Verdana"/>
          <w:sz w:val="22"/>
          <w:szCs w:val="22"/>
        </w:rPr>
      </w:pPr>
    </w:p>
    <w:p w14:paraId="22390235" w14:textId="2DF1B4CC" w:rsidR="00B92042" w:rsidRPr="00B92042" w:rsidRDefault="00B92042" w:rsidP="00B92042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  <w:lang w:eastAsia="en-IE"/>
        </w:rPr>
      </w:pPr>
      <w:r>
        <w:rPr>
          <w:rFonts w:ascii="Verdana" w:hAnsi="Verdana"/>
          <w:sz w:val="22"/>
          <w:szCs w:val="22"/>
        </w:rPr>
        <w:t xml:space="preserve"> </w:t>
      </w:r>
      <w:r w:rsidRPr="00B92042">
        <w:rPr>
          <w:rFonts w:ascii="Verdana" w:hAnsi="Verdana"/>
          <w:sz w:val="22"/>
          <w:szCs w:val="22"/>
        </w:rPr>
        <w:t xml:space="preserve">Do artists need to be from one of the Local Authority Areas? </w:t>
      </w:r>
    </w:p>
    <w:p w14:paraId="0016622E" w14:textId="5A151FD2" w:rsidR="00B92042" w:rsidRPr="00B92042" w:rsidRDefault="00B92042" w:rsidP="00B92042">
      <w:pPr>
        <w:rPr>
          <w:rFonts w:ascii="Verdana" w:hAnsi="Verdana"/>
          <w:sz w:val="22"/>
          <w:szCs w:val="22"/>
        </w:rPr>
      </w:pPr>
      <w:r w:rsidRPr="00B92042">
        <w:rPr>
          <w:rFonts w:ascii="Verdana" w:hAnsi="Verdana"/>
          <w:sz w:val="22"/>
          <w:szCs w:val="22"/>
        </w:rPr>
        <w:t>Artists do not need to be from one of the L</w:t>
      </w:r>
      <w:r>
        <w:rPr>
          <w:rFonts w:ascii="Verdana" w:hAnsi="Verdana"/>
          <w:sz w:val="22"/>
          <w:szCs w:val="22"/>
        </w:rPr>
        <w:t xml:space="preserve">ocal </w:t>
      </w:r>
      <w:r w:rsidRPr="00B92042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>uthority</w:t>
      </w:r>
      <w:r w:rsidRPr="00B92042">
        <w:rPr>
          <w:rFonts w:ascii="Verdana" w:hAnsi="Verdana"/>
          <w:sz w:val="22"/>
          <w:szCs w:val="22"/>
        </w:rPr>
        <w:t xml:space="preserve"> </w:t>
      </w:r>
      <w:r w:rsidRPr="00B92042">
        <w:rPr>
          <w:rFonts w:ascii="Verdana" w:hAnsi="Verdana"/>
          <w:sz w:val="22"/>
          <w:szCs w:val="22"/>
        </w:rPr>
        <w:t>areas</w:t>
      </w:r>
      <w:r>
        <w:rPr>
          <w:rFonts w:ascii="Verdana" w:hAnsi="Verdana"/>
          <w:sz w:val="22"/>
          <w:szCs w:val="22"/>
        </w:rPr>
        <w:t>.</w:t>
      </w:r>
      <w:r w:rsidRPr="00B9204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They can</w:t>
      </w:r>
      <w:r w:rsidRPr="00B92042">
        <w:rPr>
          <w:rFonts w:ascii="Verdana" w:hAnsi="Verdana"/>
          <w:sz w:val="22"/>
          <w:szCs w:val="22"/>
        </w:rPr>
        <w:t xml:space="preserve"> apply to deliver the residency in one or more areas. There is an option to identify areas of preference or be open to being matched. </w:t>
      </w:r>
    </w:p>
    <w:p w14:paraId="1CF03171" w14:textId="77777777" w:rsidR="00912CF0" w:rsidRDefault="00912CF0"/>
    <w:sectPr w:rsidR="00912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26059"/>
    <w:multiLevelType w:val="hybridMultilevel"/>
    <w:tmpl w:val="FCB2E4D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F3C51"/>
    <w:multiLevelType w:val="hybridMultilevel"/>
    <w:tmpl w:val="44F6E5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604BF"/>
    <w:multiLevelType w:val="hybridMultilevel"/>
    <w:tmpl w:val="82D008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262A5"/>
    <w:multiLevelType w:val="hybridMultilevel"/>
    <w:tmpl w:val="4EE4EB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17914">
    <w:abstractNumId w:val="0"/>
  </w:num>
  <w:num w:numId="2" w16cid:durableId="1954164378">
    <w:abstractNumId w:val="3"/>
  </w:num>
  <w:num w:numId="3" w16cid:durableId="375393685">
    <w:abstractNumId w:val="2"/>
  </w:num>
  <w:num w:numId="4" w16cid:durableId="139384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F0"/>
    <w:rsid w:val="002A5D80"/>
    <w:rsid w:val="00912CF0"/>
    <w:rsid w:val="00B92042"/>
    <w:rsid w:val="00BE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1C0B9"/>
  <w15:chartTrackingRefBased/>
  <w15:docId w15:val="{3A9C9F32-E1D9-4D1B-84C5-5473FF4A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F0"/>
    <w:pPr>
      <w:spacing w:after="0" w:line="240" w:lineRule="auto"/>
    </w:pPr>
    <w:rPr>
      <w:rFonts w:ascii="Aptos" w:hAnsi="Aptos" w:cs="Aptos"/>
      <w:kern w:val="0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C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C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C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C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C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CF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CF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CF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CF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C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C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C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2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C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2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CF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2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CF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2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CF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12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C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2CF0"/>
    <w:rPr>
      <w:rFonts w:ascii="Aptos" w:hAnsi="Aptos" w:cs="Aptos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CF0"/>
    <w:rPr>
      <w:rFonts w:ascii="Aptos" w:hAnsi="Aptos" w:cs="Aptos"/>
      <w:b/>
      <w:bCs/>
      <w:kern w:val="0"/>
      <w:sz w:val="20"/>
      <w:szCs w:val="2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823</Words>
  <Characters>4697</Characters>
  <Application>Microsoft Office Word</Application>
  <DocSecurity>0</DocSecurity>
  <Lines>39</Lines>
  <Paragraphs>11</Paragraphs>
  <ScaleCrop>false</ScaleCrop>
  <Company>Tusla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OBrien2</dc:creator>
  <cp:keywords/>
  <dc:description/>
  <cp:lastModifiedBy>Davey Maire</cp:lastModifiedBy>
  <cp:revision>2</cp:revision>
  <dcterms:created xsi:type="dcterms:W3CDTF">2026-07-07T14:15:00Z</dcterms:created>
  <dcterms:modified xsi:type="dcterms:W3CDTF">2026-07-07T14:15:00Z</dcterms:modified>
</cp:coreProperties>
</file>