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2EAAE" w14:textId="77777777" w:rsidR="004A25C2" w:rsidRDefault="004A25C2" w:rsidP="004A25C2">
      <w:pPr>
        <w:pStyle w:val="BodyText"/>
        <w:spacing w:before="83"/>
        <w:ind w:left="260"/>
        <w:jc w:val="both"/>
      </w:pPr>
      <w:r>
        <w:rPr>
          <w:b/>
          <w:u w:val="single"/>
        </w:rPr>
        <w:t xml:space="preserve">Step 2 </w:t>
      </w:r>
      <w:r>
        <w:rPr>
          <w:u w:val="single"/>
        </w:rPr>
        <w:t>Summary Information on Website</w:t>
      </w:r>
    </w:p>
    <w:p w14:paraId="6231E981" w14:textId="77777777" w:rsidR="004A25C2" w:rsidRDefault="004A25C2" w:rsidP="004A25C2">
      <w:pPr>
        <w:pStyle w:val="BodyText"/>
        <w:spacing w:before="42" w:line="278" w:lineRule="auto"/>
        <w:ind w:left="260" w:right="129"/>
        <w:jc w:val="both"/>
      </w:pPr>
      <w:r>
        <w:t xml:space="preserve">The Project Inventory will inform the projects to be published on the </w:t>
      </w:r>
      <w:proofErr w:type="spellStart"/>
      <w:r>
        <w:t>organisation’s</w:t>
      </w:r>
      <w:proofErr w:type="spellEnd"/>
      <w:r>
        <w:t xml:space="preserve"> website. Summary details of all procurements (capital and current) where the value exceeds €10m are required to be published under a heading PROCUREMENT/PROJECT PROGRESS. </w:t>
      </w:r>
      <w:r>
        <w:rPr>
          <w:spacing w:val="-3"/>
        </w:rPr>
        <w:t xml:space="preserve">The </w:t>
      </w:r>
      <w:r>
        <w:t>list must be published by 31</w:t>
      </w:r>
      <w:proofErr w:type="spellStart"/>
      <w:proofErr w:type="gramStart"/>
      <w:r>
        <w:rPr>
          <w:position w:val="5"/>
          <w:sz w:val="14"/>
        </w:rPr>
        <w:t>st</w:t>
      </w:r>
      <w:proofErr w:type="spellEnd"/>
      <w:r>
        <w:rPr>
          <w:position w:val="5"/>
          <w:sz w:val="14"/>
        </w:rPr>
        <w:t xml:space="preserve">  </w:t>
      </w:r>
      <w:r>
        <w:t>May</w:t>
      </w:r>
      <w:proofErr w:type="gramEnd"/>
      <w:r>
        <w:t xml:space="preserve"> each year and should include the information on the following table for each project/procurement greater than €10m regardless of its status. All €10m + projects/procurements will remain on the list until they have been reported as completed.</w:t>
      </w:r>
    </w:p>
    <w:p w14:paraId="2FD7E0F7" w14:textId="77777777" w:rsidR="004A25C2" w:rsidRDefault="004A25C2" w:rsidP="004A25C2">
      <w:pPr>
        <w:pStyle w:val="BodyText"/>
        <w:spacing w:before="3"/>
        <w:rPr>
          <w:sz w:val="13"/>
        </w:rPr>
      </w:pPr>
    </w:p>
    <w:tbl>
      <w:tblPr>
        <w:tblW w:w="9369" w:type="dxa"/>
        <w:tblInd w:w="26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7"/>
        <w:gridCol w:w="4462"/>
      </w:tblGrid>
      <w:tr w:rsidR="004A25C2" w14:paraId="7390DFD9" w14:textId="77777777" w:rsidTr="2C3BE24E">
        <w:trPr>
          <w:trHeight w:val="301"/>
        </w:trPr>
        <w:tc>
          <w:tcPr>
            <w:tcW w:w="9369" w:type="dxa"/>
            <w:gridSpan w:val="2"/>
          </w:tcPr>
          <w:p w14:paraId="07DE3B2D" w14:textId="77777777" w:rsidR="004A25C2" w:rsidRDefault="004A25C2" w:rsidP="00851131">
            <w:pPr>
              <w:pStyle w:val="TableParagraph"/>
              <w:spacing w:before="68" w:line="214" w:lineRule="exact"/>
              <w:ind w:left="3514" w:right="3507"/>
              <w:jc w:val="center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z w:val="20"/>
              </w:rPr>
              <w:t>Project Details</w:t>
            </w:r>
          </w:p>
        </w:tc>
      </w:tr>
      <w:tr w:rsidR="004A25C2" w14:paraId="4EB244F5" w14:textId="77777777" w:rsidTr="2C3BE24E">
        <w:trPr>
          <w:trHeight w:val="300"/>
        </w:trPr>
        <w:tc>
          <w:tcPr>
            <w:tcW w:w="4907" w:type="dxa"/>
          </w:tcPr>
          <w:p w14:paraId="17E87202" w14:textId="77777777" w:rsidR="004A25C2" w:rsidRDefault="004A25C2" w:rsidP="00851131">
            <w:pPr>
              <w:pStyle w:val="TableParagraph"/>
              <w:spacing w:before="65" w:line="214" w:lineRule="exact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Year:</w:t>
            </w:r>
          </w:p>
        </w:tc>
        <w:tc>
          <w:tcPr>
            <w:tcW w:w="4462" w:type="dxa"/>
          </w:tcPr>
          <w:p w14:paraId="4B6A790A" w14:textId="487D4ECF" w:rsidR="004A25C2" w:rsidRDefault="00532694" w:rsidP="0085113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2024</w:t>
            </w:r>
          </w:p>
        </w:tc>
      </w:tr>
      <w:tr w:rsidR="004A25C2" w14:paraId="63D68236" w14:textId="77777777" w:rsidTr="2C3BE24E">
        <w:trPr>
          <w:trHeight w:val="299"/>
        </w:trPr>
        <w:tc>
          <w:tcPr>
            <w:tcW w:w="4907" w:type="dxa"/>
          </w:tcPr>
          <w:p w14:paraId="280C3A0E" w14:textId="77777777" w:rsidR="004A25C2" w:rsidRDefault="004A25C2" w:rsidP="00851131">
            <w:pPr>
              <w:pStyle w:val="TableParagraph"/>
              <w:spacing w:before="65" w:line="214" w:lineRule="exact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Parent Department:</w:t>
            </w:r>
          </w:p>
        </w:tc>
        <w:tc>
          <w:tcPr>
            <w:tcW w:w="4462" w:type="dxa"/>
          </w:tcPr>
          <w:p w14:paraId="781BF6C3" w14:textId="0DF5460B" w:rsidR="004A25C2" w:rsidRDefault="00532694" w:rsidP="00851131">
            <w:pPr>
              <w:pStyle w:val="TableParagraph"/>
              <w:rPr>
                <w:rFonts w:ascii="Times New Roman"/>
                <w:sz w:val="20"/>
              </w:rPr>
            </w:pPr>
            <w:r w:rsidRPr="00532694">
              <w:rPr>
                <w:rFonts w:ascii="Times New Roman"/>
                <w:sz w:val="20"/>
              </w:rPr>
              <w:t>Infrastructure &amp; Climate Change Department</w:t>
            </w:r>
          </w:p>
        </w:tc>
      </w:tr>
      <w:tr w:rsidR="004A25C2" w14:paraId="4AD71856" w14:textId="77777777" w:rsidTr="2C3BE24E">
        <w:trPr>
          <w:trHeight w:val="299"/>
        </w:trPr>
        <w:tc>
          <w:tcPr>
            <w:tcW w:w="4907" w:type="dxa"/>
          </w:tcPr>
          <w:p w14:paraId="374E36B2" w14:textId="77777777" w:rsidR="004A25C2" w:rsidRDefault="004A25C2" w:rsidP="00851131">
            <w:pPr>
              <w:pStyle w:val="TableParagraph"/>
              <w:spacing w:before="65" w:line="214" w:lineRule="exact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Name of Contracting Body:</w:t>
            </w:r>
          </w:p>
        </w:tc>
        <w:tc>
          <w:tcPr>
            <w:tcW w:w="4462" w:type="dxa"/>
          </w:tcPr>
          <w:p w14:paraId="4E9525C7" w14:textId="2799EDAF" w:rsidR="004A25C2" w:rsidRDefault="00532694" w:rsidP="00851131">
            <w:pPr>
              <w:pStyle w:val="TableParagraph"/>
              <w:rPr>
                <w:rFonts w:ascii="Times New Roman"/>
                <w:sz w:val="20"/>
              </w:rPr>
            </w:pPr>
            <w:r w:rsidRPr="00532694">
              <w:rPr>
                <w:rFonts w:ascii="Times New Roman"/>
                <w:sz w:val="20"/>
              </w:rPr>
              <w:t>Dun Laoghaire Rathdown County Council</w:t>
            </w:r>
          </w:p>
        </w:tc>
      </w:tr>
      <w:tr w:rsidR="004A25C2" w14:paraId="2315504A" w14:textId="77777777" w:rsidTr="2C3BE24E">
        <w:trPr>
          <w:trHeight w:val="299"/>
        </w:trPr>
        <w:tc>
          <w:tcPr>
            <w:tcW w:w="4907" w:type="dxa"/>
          </w:tcPr>
          <w:p w14:paraId="38CD7B4D" w14:textId="77777777" w:rsidR="004A25C2" w:rsidRDefault="004A25C2" w:rsidP="00851131">
            <w:pPr>
              <w:pStyle w:val="TableParagraph"/>
              <w:spacing w:before="65" w:line="214" w:lineRule="exact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Name of Project/Description:</w:t>
            </w:r>
          </w:p>
        </w:tc>
        <w:tc>
          <w:tcPr>
            <w:tcW w:w="4462" w:type="dxa"/>
          </w:tcPr>
          <w:p w14:paraId="3E000D91" w14:textId="1AB112D4" w:rsidR="004A25C2" w:rsidRDefault="00532694" w:rsidP="24E7C8D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proofErr w:type="spellStart"/>
            <w:r w:rsidRPr="24E7C8D2">
              <w:rPr>
                <w:rFonts w:ascii="Times New Roman"/>
                <w:sz w:val="20"/>
                <w:szCs w:val="20"/>
              </w:rPr>
              <w:t>Glenamuck</w:t>
            </w:r>
            <w:proofErr w:type="spellEnd"/>
            <w:r w:rsidRPr="24E7C8D2">
              <w:rPr>
                <w:rFonts w:ascii="Times New Roman"/>
                <w:sz w:val="20"/>
                <w:szCs w:val="20"/>
              </w:rPr>
              <w:t xml:space="preserve"> District Roads Scheme</w:t>
            </w:r>
            <w:r w:rsidR="647EA37F" w:rsidRPr="24E7C8D2">
              <w:rPr>
                <w:rFonts w:ascii="Times New Roman"/>
                <w:sz w:val="20"/>
                <w:szCs w:val="20"/>
              </w:rPr>
              <w:t xml:space="preserve"> (GDRS)</w:t>
            </w:r>
          </w:p>
        </w:tc>
      </w:tr>
      <w:tr w:rsidR="004A25C2" w14:paraId="75722B77" w14:textId="77777777" w:rsidTr="2C3BE24E">
        <w:trPr>
          <w:trHeight w:val="299"/>
        </w:trPr>
        <w:tc>
          <w:tcPr>
            <w:tcW w:w="9369" w:type="dxa"/>
            <w:gridSpan w:val="2"/>
          </w:tcPr>
          <w:p w14:paraId="03B5EDD8" w14:textId="77777777" w:rsidR="004A25C2" w:rsidRDefault="004A25C2" w:rsidP="00851131">
            <w:pPr>
              <w:pStyle w:val="TableParagraph"/>
              <w:spacing w:before="65" w:line="214" w:lineRule="exact"/>
              <w:ind w:left="3514" w:right="3508"/>
              <w:jc w:val="center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z w:val="20"/>
              </w:rPr>
              <w:t>Procurement Details</w:t>
            </w:r>
          </w:p>
        </w:tc>
      </w:tr>
      <w:tr w:rsidR="004A25C2" w14:paraId="2784339E" w14:textId="77777777" w:rsidTr="2C3BE24E">
        <w:trPr>
          <w:trHeight w:val="301"/>
        </w:trPr>
        <w:tc>
          <w:tcPr>
            <w:tcW w:w="4907" w:type="dxa"/>
          </w:tcPr>
          <w:p w14:paraId="37FA76AE" w14:textId="77777777" w:rsidR="004A25C2" w:rsidRDefault="004A25C2" w:rsidP="00851131">
            <w:pPr>
              <w:pStyle w:val="TableParagraph"/>
              <w:spacing w:before="68" w:line="214" w:lineRule="exact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Advertisement Date:</w:t>
            </w:r>
          </w:p>
        </w:tc>
        <w:tc>
          <w:tcPr>
            <w:tcW w:w="4462" w:type="dxa"/>
            <w:shd w:val="clear" w:color="auto" w:fill="FBE4D5" w:themeFill="accent2" w:themeFillTint="33"/>
          </w:tcPr>
          <w:p w14:paraId="1EA7D432" w14:textId="26941F0F" w:rsidR="004A25C2" w:rsidRPr="00F465F9" w:rsidRDefault="00F5534A" w:rsidP="349FAD8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F465F9">
              <w:rPr>
                <w:rFonts w:ascii="Times New Roman"/>
                <w:sz w:val="20"/>
                <w:szCs w:val="20"/>
              </w:rPr>
              <w:t>6</w:t>
            </w:r>
            <w:r w:rsidRPr="00F465F9">
              <w:rPr>
                <w:rFonts w:ascii="Times New Roman"/>
                <w:sz w:val="20"/>
                <w:szCs w:val="20"/>
                <w:vertAlign w:val="superscript"/>
              </w:rPr>
              <w:t>th</w:t>
            </w:r>
            <w:r w:rsidRPr="00F465F9">
              <w:rPr>
                <w:rFonts w:ascii="Times New Roman"/>
                <w:sz w:val="20"/>
                <w:szCs w:val="20"/>
              </w:rPr>
              <w:t xml:space="preserve"> July 2022 (RFT 217758) </w:t>
            </w:r>
          </w:p>
        </w:tc>
      </w:tr>
      <w:tr w:rsidR="004A25C2" w14:paraId="72C9F253" w14:textId="77777777" w:rsidTr="2C3BE24E">
        <w:trPr>
          <w:trHeight w:val="299"/>
        </w:trPr>
        <w:tc>
          <w:tcPr>
            <w:tcW w:w="4907" w:type="dxa"/>
          </w:tcPr>
          <w:p w14:paraId="15BD09BF" w14:textId="77777777" w:rsidR="004A25C2" w:rsidRDefault="004A25C2" w:rsidP="00851131">
            <w:pPr>
              <w:pStyle w:val="TableParagraph"/>
              <w:spacing w:before="65" w:line="214" w:lineRule="exact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Tender Advertised in:</w:t>
            </w:r>
          </w:p>
        </w:tc>
        <w:tc>
          <w:tcPr>
            <w:tcW w:w="4462" w:type="dxa"/>
            <w:shd w:val="clear" w:color="auto" w:fill="FBE4D5" w:themeFill="accent2" w:themeFillTint="33"/>
          </w:tcPr>
          <w:p w14:paraId="102B9398" w14:textId="30A5C337" w:rsidR="004A25C2" w:rsidRPr="00F465F9" w:rsidRDefault="004F07F6" w:rsidP="349FAD8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proofErr w:type="spellStart"/>
            <w:r w:rsidRPr="00F465F9">
              <w:rPr>
                <w:rFonts w:ascii="Times New Roman"/>
                <w:sz w:val="20"/>
                <w:szCs w:val="20"/>
              </w:rPr>
              <w:t>eTenders</w:t>
            </w:r>
            <w:proofErr w:type="spellEnd"/>
            <w:r w:rsidRPr="00F465F9">
              <w:rPr>
                <w:rFonts w:ascii="Times New Roman"/>
                <w:sz w:val="20"/>
                <w:szCs w:val="20"/>
              </w:rPr>
              <w:t xml:space="preserve"> and OJEU</w:t>
            </w:r>
          </w:p>
        </w:tc>
      </w:tr>
      <w:tr w:rsidR="004A25C2" w14:paraId="06554118" w14:textId="77777777" w:rsidTr="2C3BE24E">
        <w:trPr>
          <w:trHeight w:val="299"/>
        </w:trPr>
        <w:tc>
          <w:tcPr>
            <w:tcW w:w="4907" w:type="dxa"/>
          </w:tcPr>
          <w:p w14:paraId="48625EA0" w14:textId="77777777" w:rsidR="004A25C2" w:rsidRDefault="004A25C2" w:rsidP="00851131">
            <w:pPr>
              <w:pStyle w:val="TableParagraph"/>
              <w:spacing w:before="65" w:line="214" w:lineRule="exact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Awarded to:</w:t>
            </w:r>
          </w:p>
        </w:tc>
        <w:tc>
          <w:tcPr>
            <w:tcW w:w="4462" w:type="dxa"/>
          </w:tcPr>
          <w:p w14:paraId="00D4FF5D" w14:textId="16240E49" w:rsidR="004A25C2" w:rsidRDefault="004F07F6" w:rsidP="0085113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BAM Civil Ltd</w:t>
            </w:r>
          </w:p>
        </w:tc>
      </w:tr>
      <w:tr w:rsidR="004A25C2" w14:paraId="401C6314" w14:textId="77777777" w:rsidTr="2C3BE24E">
        <w:trPr>
          <w:trHeight w:val="299"/>
        </w:trPr>
        <w:tc>
          <w:tcPr>
            <w:tcW w:w="4907" w:type="dxa"/>
          </w:tcPr>
          <w:p w14:paraId="0FAEF2F1" w14:textId="77777777" w:rsidR="004A25C2" w:rsidRDefault="004A25C2" w:rsidP="00851131">
            <w:pPr>
              <w:pStyle w:val="TableParagraph"/>
              <w:spacing w:before="65" w:line="214" w:lineRule="exact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EU Contract Award Notice Date:</w:t>
            </w:r>
          </w:p>
        </w:tc>
        <w:tc>
          <w:tcPr>
            <w:tcW w:w="4462" w:type="dxa"/>
            <w:shd w:val="clear" w:color="auto" w:fill="FBE4D5" w:themeFill="accent2" w:themeFillTint="33"/>
          </w:tcPr>
          <w:p w14:paraId="45AAAF85" w14:textId="62ABCE0B" w:rsidR="004A25C2" w:rsidRDefault="01C774F3" w:rsidP="0824570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18177A58">
              <w:rPr>
                <w:rFonts w:ascii="Times New Roman"/>
                <w:sz w:val="20"/>
                <w:szCs w:val="20"/>
              </w:rPr>
              <w:t>29</w:t>
            </w:r>
            <w:r w:rsidR="650F5526" w:rsidRPr="18177A58">
              <w:rPr>
                <w:rFonts w:ascii="Times New Roman"/>
                <w:sz w:val="20"/>
                <w:szCs w:val="20"/>
                <w:vertAlign w:val="superscript"/>
              </w:rPr>
              <w:t>th</w:t>
            </w:r>
            <w:r w:rsidR="650F5526" w:rsidRPr="18177A58">
              <w:rPr>
                <w:rFonts w:ascii="Times New Roman"/>
                <w:sz w:val="20"/>
                <w:szCs w:val="20"/>
              </w:rPr>
              <w:t xml:space="preserve"> May </w:t>
            </w:r>
            <w:r w:rsidRPr="18177A58">
              <w:rPr>
                <w:rFonts w:ascii="Times New Roman"/>
                <w:sz w:val="20"/>
                <w:szCs w:val="20"/>
              </w:rPr>
              <w:t>202</w:t>
            </w:r>
            <w:r w:rsidR="064E3647" w:rsidRPr="18177A58">
              <w:rPr>
                <w:rFonts w:ascii="Times New Roman"/>
                <w:sz w:val="20"/>
                <w:szCs w:val="20"/>
              </w:rPr>
              <w:t>5</w:t>
            </w:r>
          </w:p>
        </w:tc>
      </w:tr>
      <w:tr w:rsidR="004A25C2" w14:paraId="1841FF4D" w14:textId="77777777" w:rsidTr="2C3BE24E">
        <w:trPr>
          <w:trHeight w:val="299"/>
        </w:trPr>
        <w:tc>
          <w:tcPr>
            <w:tcW w:w="4907" w:type="dxa"/>
          </w:tcPr>
          <w:p w14:paraId="1C11D98C" w14:textId="77777777" w:rsidR="004A25C2" w:rsidRDefault="004A25C2" w:rsidP="00851131">
            <w:pPr>
              <w:pStyle w:val="TableParagraph"/>
              <w:spacing w:before="65" w:line="214" w:lineRule="exact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Contract Price:</w:t>
            </w:r>
          </w:p>
        </w:tc>
        <w:tc>
          <w:tcPr>
            <w:tcW w:w="4462" w:type="dxa"/>
          </w:tcPr>
          <w:p w14:paraId="73D39D2F" w14:textId="351ABEFE" w:rsidR="004A25C2" w:rsidRDefault="6042626A" w:rsidP="57F952F9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2C3BE24E">
              <w:rPr>
                <w:rFonts w:ascii="Times New Roman"/>
                <w:sz w:val="20"/>
                <w:szCs w:val="20"/>
              </w:rPr>
              <w:t>€</w:t>
            </w:r>
            <w:r w:rsidRPr="2C3BE24E">
              <w:rPr>
                <w:rFonts w:ascii="Times New Roman"/>
                <w:sz w:val="20"/>
                <w:szCs w:val="20"/>
              </w:rPr>
              <w:t>3</w:t>
            </w:r>
            <w:r w:rsidR="211C3E0D" w:rsidRPr="2C3BE24E">
              <w:rPr>
                <w:rFonts w:ascii="Times New Roman"/>
                <w:sz w:val="20"/>
                <w:szCs w:val="20"/>
              </w:rPr>
              <w:t>5,970,846.50</w:t>
            </w:r>
          </w:p>
        </w:tc>
      </w:tr>
      <w:tr w:rsidR="004A25C2" w14:paraId="11A6F21C" w14:textId="77777777" w:rsidTr="2C3BE24E">
        <w:trPr>
          <w:trHeight w:val="299"/>
        </w:trPr>
        <w:tc>
          <w:tcPr>
            <w:tcW w:w="9369" w:type="dxa"/>
            <w:gridSpan w:val="2"/>
          </w:tcPr>
          <w:p w14:paraId="36EBDDC0" w14:textId="77777777" w:rsidR="004A25C2" w:rsidRDefault="004A25C2" w:rsidP="00851131">
            <w:pPr>
              <w:pStyle w:val="TableParagraph"/>
              <w:spacing w:before="65" w:line="214" w:lineRule="exact"/>
              <w:ind w:left="3514" w:right="3506"/>
              <w:jc w:val="center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z w:val="20"/>
              </w:rPr>
              <w:t>Progress</w:t>
            </w:r>
          </w:p>
        </w:tc>
      </w:tr>
      <w:tr w:rsidR="004A25C2" w14:paraId="7F76884C" w14:textId="77777777" w:rsidTr="2C3BE24E">
        <w:trPr>
          <w:trHeight w:val="301"/>
        </w:trPr>
        <w:tc>
          <w:tcPr>
            <w:tcW w:w="4907" w:type="dxa"/>
          </w:tcPr>
          <w:p w14:paraId="4CA2CA1A" w14:textId="77777777" w:rsidR="004A25C2" w:rsidRDefault="004A25C2" w:rsidP="00851131">
            <w:pPr>
              <w:pStyle w:val="TableParagraph"/>
              <w:spacing w:before="68" w:line="214" w:lineRule="exact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Start Date:</w:t>
            </w:r>
          </w:p>
        </w:tc>
        <w:tc>
          <w:tcPr>
            <w:tcW w:w="4462" w:type="dxa"/>
          </w:tcPr>
          <w:p w14:paraId="1C302E8D" w14:textId="397871F1" w:rsidR="004A25C2" w:rsidRPr="00F465F9" w:rsidRDefault="004F07F6" w:rsidP="00851131">
            <w:pPr>
              <w:pStyle w:val="TableParagraph"/>
              <w:rPr>
                <w:rFonts w:ascii="Times New Roman"/>
                <w:sz w:val="20"/>
              </w:rPr>
            </w:pPr>
            <w:r w:rsidRPr="00F465F9">
              <w:rPr>
                <w:rFonts w:ascii="Times New Roman"/>
                <w:sz w:val="20"/>
              </w:rPr>
              <w:t>19</w:t>
            </w:r>
            <w:r w:rsidRPr="00F465F9">
              <w:rPr>
                <w:rFonts w:ascii="Times New Roman"/>
                <w:sz w:val="20"/>
                <w:vertAlign w:val="superscript"/>
              </w:rPr>
              <w:t>th</w:t>
            </w:r>
            <w:r w:rsidRPr="00F465F9">
              <w:rPr>
                <w:rFonts w:ascii="Times New Roman"/>
                <w:sz w:val="20"/>
              </w:rPr>
              <w:t xml:space="preserve"> March 2024</w:t>
            </w:r>
          </w:p>
        </w:tc>
      </w:tr>
      <w:tr w:rsidR="004A25C2" w14:paraId="3BDE825A" w14:textId="77777777" w:rsidTr="2C3BE24E">
        <w:trPr>
          <w:trHeight w:val="299"/>
        </w:trPr>
        <w:tc>
          <w:tcPr>
            <w:tcW w:w="4907" w:type="dxa"/>
          </w:tcPr>
          <w:p w14:paraId="0157CAD7" w14:textId="77777777" w:rsidR="004A25C2" w:rsidRDefault="004A25C2" w:rsidP="00851131">
            <w:pPr>
              <w:pStyle w:val="TableParagraph"/>
              <w:spacing w:before="65" w:line="214" w:lineRule="exact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Expected Date of Completion per Contract:</w:t>
            </w:r>
          </w:p>
        </w:tc>
        <w:tc>
          <w:tcPr>
            <w:tcW w:w="4462" w:type="dxa"/>
          </w:tcPr>
          <w:p w14:paraId="200D5E11" w14:textId="0D257EA4" w:rsidR="004A25C2" w:rsidRPr="00F465F9" w:rsidRDefault="004F07F6" w:rsidP="00851131">
            <w:pPr>
              <w:pStyle w:val="TableParagraph"/>
              <w:rPr>
                <w:rFonts w:ascii="Times New Roman"/>
                <w:sz w:val="20"/>
              </w:rPr>
            </w:pPr>
            <w:r w:rsidRPr="00F465F9">
              <w:rPr>
                <w:rFonts w:ascii="Times New Roman"/>
                <w:sz w:val="20"/>
              </w:rPr>
              <w:t>19</w:t>
            </w:r>
            <w:r w:rsidRPr="00F465F9">
              <w:rPr>
                <w:rFonts w:ascii="Times New Roman"/>
                <w:sz w:val="20"/>
                <w:vertAlign w:val="superscript"/>
              </w:rPr>
              <w:t>th</w:t>
            </w:r>
            <w:r w:rsidRPr="00F465F9">
              <w:rPr>
                <w:rFonts w:ascii="Times New Roman"/>
                <w:sz w:val="20"/>
              </w:rPr>
              <w:t xml:space="preserve"> March 2026</w:t>
            </w:r>
          </w:p>
        </w:tc>
      </w:tr>
      <w:tr w:rsidR="004A25C2" w14:paraId="6BFA9BAC" w14:textId="77777777" w:rsidTr="2C3BE24E">
        <w:trPr>
          <w:trHeight w:val="315"/>
        </w:trPr>
        <w:tc>
          <w:tcPr>
            <w:tcW w:w="4907" w:type="dxa"/>
          </w:tcPr>
          <w:p w14:paraId="623B834F" w14:textId="77777777" w:rsidR="004A25C2" w:rsidRDefault="004A25C2" w:rsidP="00851131">
            <w:pPr>
              <w:pStyle w:val="TableParagraph"/>
              <w:spacing w:before="65" w:line="214" w:lineRule="exact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Spend in Year under Review:</w:t>
            </w:r>
          </w:p>
        </w:tc>
        <w:tc>
          <w:tcPr>
            <w:tcW w:w="4462" w:type="dxa"/>
            <w:shd w:val="clear" w:color="auto" w:fill="FBE4D5" w:themeFill="accent2" w:themeFillTint="33"/>
          </w:tcPr>
          <w:p w14:paraId="2029504F" w14:textId="4A73911B" w:rsidR="004A25C2" w:rsidRPr="00F465F9" w:rsidRDefault="004F07F6" w:rsidP="0085113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2C3BE24E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  <w:r w:rsidR="2D0BF6F8" w:rsidRPr="2C3BE24E">
              <w:rPr>
                <w:rFonts w:ascii="Times New Roman" w:hAnsi="Times New Roman" w:cs="Times New Roman"/>
                <w:sz w:val="20"/>
                <w:szCs w:val="20"/>
              </w:rPr>
              <w:t>9,945,202.41</w:t>
            </w:r>
            <w:r w:rsidRPr="2C3BE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A25C2" w14:paraId="2B986A47" w14:textId="77777777" w:rsidTr="2C3BE24E">
        <w:trPr>
          <w:trHeight w:val="299"/>
        </w:trPr>
        <w:tc>
          <w:tcPr>
            <w:tcW w:w="4907" w:type="dxa"/>
          </w:tcPr>
          <w:p w14:paraId="0832FF70" w14:textId="77777777" w:rsidR="004A25C2" w:rsidRDefault="004A25C2" w:rsidP="00851131">
            <w:pPr>
              <w:pStyle w:val="TableParagraph"/>
              <w:spacing w:before="65" w:line="214" w:lineRule="exact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Cumulative Spend to End of Year:</w:t>
            </w:r>
          </w:p>
        </w:tc>
        <w:tc>
          <w:tcPr>
            <w:tcW w:w="4462" w:type="dxa"/>
            <w:shd w:val="clear" w:color="auto" w:fill="FBE4D5" w:themeFill="accent2" w:themeFillTint="33"/>
          </w:tcPr>
          <w:p w14:paraId="277E192C" w14:textId="00EE2E02" w:rsidR="004A25C2" w:rsidRPr="00F465F9" w:rsidRDefault="5357A140" w:rsidP="0085113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2C3BE24E">
              <w:rPr>
                <w:rFonts w:ascii="Times New Roman" w:hAnsi="Times New Roman" w:cs="Times New Roman"/>
                <w:sz w:val="20"/>
                <w:szCs w:val="20"/>
              </w:rPr>
              <w:t xml:space="preserve">€9,945,202.41 </w:t>
            </w:r>
          </w:p>
        </w:tc>
      </w:tr>
      <w:tr w:rsidR="004A25C2" w14:paraId="74D25877" w14:textId="77777777" w:rsidTr="2C3BE24E">
        <w:trPr>
          <w:trHeight w:val="299"/>
        </w:trPr>
        <w:tc>
          <w:tcPr>
            <w:tcW w:w="4907" w:type="dxa"/>
          </w:tcPr>
          <w:p w14:paraId="1131EF9A" w14:textId="77777777" w:rsidR="004A25C2" w:rsidRDefault="004A25C2" w:rsidP="00851131">
            <w:pPr>
              <w:pStyle w:val="TableParagraph"/>
              <w:spacing w:before="65" w:line="214" w:lineRule="exact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Projected Final Cost:</w:t>
            </w:r>
          </w:p>
        </w:tc>
        <w:tc>
          <w:tcPr>
            <w:tcW w:w="4462" w:type="dxa"/>
            <w:shd w:val="clear" w:color="auto" w:fill="FBE4D5" w:themeFill="accent2" w:themeFillTint="33"/>
          </w:tcPr>
          <w:p w14:paraId="43C19733" w14:textId="17872949" w:rsidR="004A25C2" w:rsidRPr="00F465F9" w:rsidRDefault="13266000" w:rsidP="57F952F9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2C3BE24E">
              <w:rPr>
                <w:rFonts w:ascii="Times New Roman"/>
                <w:sz w:val="20"/>
                <w:szCs w:val="20"/>
              </w:rPr>
              <w:t>€</w:t>
            </w:r>
            <w:r w:rsidRPr="2C3BE24E">
              <w:rPr>
                <w:rFonts w:ascii="Times New Roman"/>
                <w:sz w:val="20"/>
                <w:szCs w:val="20"/>
              </w:rPr>
              <w:t>3</w:t>
            </w:r>
            <w:r w:rsidR="5C2F3F39" w:rsidRPr="2C3BE24E">
              <w:rPr>
                <w:rFonts w:ascii="Times New Roman"/>
                <w:sz w:val="20"/>
                <w:szCs w:val="20"/>
              </w:rPr>
              <w:t>7,060,966.70</w:t>
            </w:r>
          </w:p>
        </w:tc>
      </w:tr>
      <w:tr w:rsidR="004A25C2" w14:paraId="5D0667BE" w14:textId="77777777" w:rsidTr="2C3BE24E">
        <w:trPr>
          <w:trHeight w:val="299"/>
        </w:trPr>
        <w:tc>
          <w:tcPr>
            <w:tcW w:w="4907" w:type="dxa"/>
          </w:tcPr>
          <w:p w14:paraId="4498BE5F" w14:textId="77777777" w:rsidR="004A25C2" w:rsidRDefault="004A25C2" w:rsidP="00851131">
            <w:pPr>
              <w:pStyle w:val="TableParagraph"/>
              <w:spacing w:before="65" w:line="214" w:lineRule="exact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Value of Contract Variations:</w:t>
            </w:r>
          </w:p>
        </w:tc>
        <w:tc>
          <w:tcPr>
            <w:tcW w:w="4462" w:type="dxa"/>
            <w:shd w:val="clear" w:color="auto" w:fill="FBE4D5" w:themeFill="accent2" w:themeFillTint="33"/>
          </w:tcPr>
          <w:p w14:paraId="32CC2724" w14:textId="3144B261" w:rsidR="004A25C2" w:rsidRPr="00F465F9" w:rsidRDefault="65EAD42B" w:rsidP="57F952F9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2C3BE24E">
              <w:rPr>
                <w:rFonts w:ascii="Times New Roman"/>
                <w:sz w:val="20"/>
                <w:szCs w:val="20"/>
              </w:rPr>
              <w:t>€</w:t>
            </w:r>
            <w:r w:rsidR="2907B176" w:rsidRPr="2C3BE24E">
              <w:rPr>
                <w:rFonts w:ascii="Times New Roman"/>
                <w:sz w:val="20"/>
                <w:szCs w:val="20"/>
              </w:rPr>
              <w:t>1,090,120.18</w:t>
            </w:r>
          </w:p>
        </w:tc>
      </w:tr>
      <w:tr w:rsidR="004A25C2" w14:paraId="1B18CF50" w14:textId="77777777" w:rsidTr="2C3BE24E">
        <w:trPr>
          <w:trHeight w:val="301"/>
        </w:trPr>
        <w:tc>
          <w:tcPr>
            <w:tcW w:w="4907" w:type="dxa"/>
          </w:tcPr>
          <w:p w14:paraId="59C6D1CB" w14:textId="77777777" w:rsidR="004A25C2" w:rsidRDefault="004A25C2" w:rsidP="00851131">
            <w:pPr>
              <w:pStyle w:val="TableParagraph"/>
              <w:spacing w:before="68" w:line="214" w:lineRule="exact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Date of Completion:</w:t>
            </w:r>
          </w:p>
        </w:tc>
        <w:tc>
          <w:tcPr>
            <w:tcW w:w="4462" w:type="dxa"/>
          </w:tcPr>
          <w:p w14:paraId="3B6B368F" w14:textId="13A7EBC8" w:rsidR="004A25C2" w:rsidRPr="00F465F9" w:rsidRDefault="004F07F6" w:rsidP="00851131">
            <w:pPr>
              <w:pStyle w:val="TableParagraph"/>
              <w:rPr>
                <w:rFonts w:ascii="Times New Roman"/>
                <w:sz w:val="20"/>
              </w:rPr>
            </w:pPr>
            <w:r w:rsidRPr="00F465F9">
              <w:rPr>
                <w:rFonts w:ascii="Times New Roman"/>
                <w:sz w:val="20"/>
              </w:rPr>
              <w:t xml:space="preserve">Estimated April 2026 </w:t>
            </w:r>
          </w:p>
        </w:tc>
      </w:tr>
      <w:tr w:rsidR="004A25C2" w14:paraId="27390347" w14:textId="77777777" w:rsidTr="2C3BE24E">
        <w:trPr>
          <w:trHeight w:val="299"/>
        </w:trPr>
        <w:tc>
          <w:tcPr>
            <w:tcW w:w="9369" w:type="dxa"/>
            <w:gridSpan w:val="2"/>
          </w:tcPr>
          <w:p w14:paraId="21D5EEDB" w14:textId="77777777" w:rsidR="004A25C2" w:rsidRPr="00F465F9" w:rsidRDefault="004A25C2" w:rsidP="00851131">
            <w:pPr>
              <w:pStyle w:val="TableParagraph"/>
              <w:spacing w:before="65" w:line="214" w:lineRule="exact"/>
              <w:ind w:left="3514" w:right="3508"/>
              <w:jc w:val="center"/>
              <w:rPr>
                <w:rFonts w:ascii="Bookman Old Style"/>
                <w:b/>
                <w:sz w:val="20"/>
              </w:rPr>
            </w:pPr>
            <w:r w:rsidRPr="00F465F9">
              <w:rPr>
                <w:rFonts w:ascii="Bookman Old Style"/>
                <w:b/>
                <w:sz w:val="20"/>
              </w:rPr>
              <w:t>Outputs</w:t>
            </w:r>
          </w:p>
        </w:tc>
      </w:tr>
      <w:tr w:rsidR="004A25C2" w14:paraId="29966AA3" w14:textId="77777777" w:rsidTr="2C3BE24E">
        <w:trPr>
          <w:trHeight w:val="599"/>
        </w:trPr>
        <w:tc>
          <w:tcPr>
            <w:tcW w:w="4907" w:type="dxa"/>
          </w:tcPr>
          <w:p w14:paraId="513F8BB7" w14:textId="77777777" w:rsidR="004A25C2" w:rsidRDefault="004A25C2" w:rsidP="00851131">
            <w:pPr>
              <w:pStyle w:val="TableParagraph"/>
              <w:spacing w:before="65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Expected Output on Completion</w:t>
            </w:r>
          </w:p>
          <w:p w14:paraId="0DDFCBEB" w14:textId="77777777" w:rsidR="004A25C2" w:rsidRDefault="004A25C2" w:rsidP="00851131">
            <w:pPr>
              <w:pStyle w:val="TableParagraph"/>
              <w:spacing w:before="66" w:line="214" w:lineRule="exact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 xml:space="preserve">(E.G. XX kms of Road, </w:t>
            </w:r>
            <w:proofErr w:type="gramStart"/>
            <w:r>
              <w:rPr>
                <w:rFonts w:ascii="Bookman Old Style"/>
                <w:sz w:val="20"/>
              </w:rPr>
              <w:t>No</w:t>
            </w:r>
            <w:proofErr w:type="gramEnd"/>
            <w:r>
              <w:rPr>
                <w:rFonts w:ascii="Bookman Old Style"/>
                <w:sz w:val="20"/>
              </w:rPr>
              <w:t xml:space="preserve"> of units </w:t>
            </w:r>
            <w:proofErr w:type="spellStart"/>
            <w:r>
              <w:rPr>
                <w:rFonts w:ascii="Bookman Old Style"/>
                <w:sz w:val="20"/>
              </w:rPr>
              <w:t>etc</w:t>
            </w:r>
            <w:proofErr w:type="spellEnd"/>
            <w:r>
              <w:rPr>
                <w:rFonts w:ascii="Bookman Old Style"/>
                <w:sz w:val="20"/>
              </w:rPr>
              <w:t>)</w:t>
            </w:r>
          </w:p>
        </w:tc>
        <w:tc>
          <w:tcPr>
            <w:tcW w:w="4462" w:type="dxa"/>
          </w:tcPr>
          <w:p w14:paraId="5D9EA114" w14:textId="614C0203" w:rsidR="004A25C2" w:rsidRDefault="7DA42545" w:rsidP="24E7C8D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24E7C8D2">
              <w:rPr>
                <w:rFonts w:ascii="Times New Roman"/>
                <w:sz w:val="20"/>
                <w:szCs w:val="20"/>
              </w:rPr>
              <w:t xml:space="preserve">GDRS </w:t>
            </w:r>
            <w:r w:rsidR="3AD4481F" w:rsidRPr="24E7C8D2">
              <w:rPr>
                <w:rFonts w:ascii="Times New Roman"/>
                <w:sz w:val="20"/>
                <w:szCs w:val="20"/>
              </w:rPr>
              <w:t xml:space="preserve">comprises </w:t>
            </w:r>
            <w:r w:rsidR="5C65CEF3" w:rsidRPr="24E7C8D2">
              <w:rPr>
                <w:rFonts w:ascii="Times New Roman"/>
                <w:sz w:val="20"/>
                <w:szCs w:val="20"/>
              </w:rPr>
              <w:t xml:space="preserve">two </w:t>
            </w:r>
            <w:r w:rsidR="69137E22" w:rsidRPr="24E7C8D2">
              <w:rPr>
                <w:rFonts w:ascii="Times New Roman"/>
                <w:sz w:val="20"/>
                <w:szCs w:val="20"/>
              </w:rPr>
              <w:t>primary</w:t>
            </w:r>
            <w:r w:rsidR="5C65CEF3" w:rsidRPr="24E7C8D2">
              <w:rPr>
                <w:rFonts w:ascii="Times New Roman"/>
                <w:sz w:val="20"/>
                <w:szCs w:val="20"/>
              </w:rPr>
              <w:t xml:space="preserve"> distributor roads</w:t>
            </w:r>
            <w:r w:rsidR="35CCFE05" w:rsidRPr="24E7C8D2">
              <w:rPr>
                <w:rFonts w:ascii="Times New Roman"/>
                <w:sz w:val="20"/>
                <w:szCs w:val="20"/>
              </w:rPr>
              <w:t xml:space="preserve">: </w:t>
            </w:r>
            <w:proofErr w:type="gramStart"/>
            <w:r w:rsidR="35CCFE05" w:rsidRPr="24E7C8D2">
              <w:rPr>
                <w:rFonts w:ascii="Times New Roman"/>
                <w:sz w:val="20"/>
                <w:szCs w:val="20"/>
              </w:rPr>
              <w:t xml:space="preserve">the  </w:t>
            </w:r>
            <w:proofErr w:type="spellStart"/>
            <w:r w:rsidRPr="24E7C8D2">
              <w:rPr>
                <w:rFonts w:ascii="Times New Roman"/>
                <w:sz w:val="20"/>
                <w:szCs w:val="20"/>
              </w:rPr>
              <w:t>Glenamuck</w:t>
            </w:r>
            <w:proofErr w:type="spellEnd"/>
            <w:proofErr w:type="gramEnd"/>
            <w:r w:rsidRPr="24E7C8D2">
              <w:rPr>
                <w:rFonts w:ascii="Times New Roman"/>
                <w:sz w:val="20"/>
                <w:szCs w:val="20"/>
              </w:rPr>
              <w:t xml:space="preserve"> District Distributor Road (GDDR</w:t>
            </w:r>
            <w:proofErr w:type="gramStart"/>
            <w:r w:rsidRPr="24E7C8D2">
              <w:rPr>
                <w:rFonts w:ascii="Times New Roman"/>
                <w:sz w:val="20"/>
                <w:szCs w:val="20"/>
              </w:rPr>
              <w:t>)</w:t>
            </w:r>
            <w:r w:rsidR="3C93E32D" w:rsidRPr="24E7C8D2">
              <w:rPr>
                <w:rFonts w:ascii="Times New Roman"/>
                <w:sz w:val="20"/>
                <w:szCs w:val="20"/>
              </w:rPr>
              <w:t>,</w:t>
            </w:r>
            <w:r w:rsidRPr="24E7C8D2">
              <w:rPr>
                <w:rFonts w:ascii="Times New Roman"/>
                <w:sz w:val="20"/>
                <w:szCs w:val="20"/>
              </w:rPr>
              <w:t xml:space="preserve">  </w:t>
            </w:r>
            <w:proofErr w:type="spellStart"/>
            <w:r w:rsidRPr="24E7C8D2">
              <w:rPr>
                <w:rFonts w:ascii="Times New Roman"/>
                <w:sz w:val="20"/>
                <w:szCs w:val="20"/>
              </w:rPr>
              <w:t>Glenamuck</w:t>
            </w:r>
            <w:proofErr w:type="spellEnd"/>
            <w:proofErr w:type="gramEnd"/>
            <w:r w:rsidRPr="24E7C8D2">
              <w:rPr>
                <w:rFonts w:ascii="Times New Roman"/>
                <w:sz w:val="20"/>
                <w:szCs w:val="20"/>
              </w:rPr>
              <w:t xml:space="preserve"> Link Dist</w:t>
            </w:r>
            <w:r w:rsidR="7609D5BB" w:rsidRPr="24E7C8D2">
              <w:rPr>
                <w:rFonts w:ascii="Times New Roman"/>
                <w:sz w:val="20"/>
                <w:szCs w:val="20"/>
              </w:rPr>
              <w:t>ributor</w:t>
            </w:r>
            <w:r w:rsidR="3F5603C2" w:rsidRPr="24E7C8D2">
              <w:rPr>
                <w:rFonts w:ascii="Times New Roman"/>
                <w:sz w:val="20"/>
                <w:szCs w:val="20"/>
              </w:rPr>
              <w:t xml:space="preserve"> Road (GLDR)</w:t>
            </w:r>
            <w:r w:rsidR="0B2B17D8" w:rsidRPr="24E7C8D2">
              <w:rPr>
                <w:rFonts w:ascii="Times New Roman"/>
                <w:sz w:val="20"/>
                <w:szCs w:val="20"/>
              </w:rPr>
              <w:t xml:space="preserve"> </w:t>
            </w:r>
            <w:r w:rsidR="18D0BDD0" w:rsidRPr="24E7C8D2">
              <w:rPr>
                <w:rFonts w:ascii="Times New Roman"/>
                <w:sz w:val="20"/>
                <w:szCs w:val="20"/>
              </w:rPr>
              <w:t xml:space="preserve">- as well as </w:t>
            </w:r>
            <w:r w:rsidR="0B2B17D8" w:rsidRPr="24E7C8D2">
              <w:rPr>
                <w:rFonts w:ascii="Times New Roman"/>
                <w:sz w:val="20"/>
                <w:szCs w:val="20"/>
              </w:rPr>
              <w:t xml:space="preserve">a section of </w:t>
            </w:r>
            <w:proofErr w:type="spellStart"/>
            <w:r w:rsidR="0B2B17D8" w:rsidRPr="24E7C8D2">
              <w:rPr>
                <w:rFonts w:ascii="Times New Roman"/>
                <w:sz w:val="20"/>
                <w:szCs w:val="20"/>
              </w:rPr>
              <w:t>Glenamuck</w:t>
            </w:r>
            <w:proofErr w:type="spellEnd"/>
            <w:r w:rsidR="0B2B17D8" w:rsidRPr="24E7C8D2">
              <w:rPr>
                <w:rFonts w:ascii="Times New Roman"/>
                <w:sz w:val="20"/>
                <w:szCs w:val="20"/>
              </w:rPr>
              <w:t xml:space="preserve"> Road South</w:t>
            </w:r>
            <w:r w:rsidR="3F5603C2" w:rsidRPr="24E7C8D2">
              <w:rPr>
                <w:rFonts w:ascii="Times New Roman"/>
                <w:sz w:val="20"/>
                <w:szCs w:val="20"/>
              </w:rPr>
              <w:t>.</w:t>
            </w:r>
            <w:r w:rsidR="2822C7AD" w:rsidRPr="24E7C8D2">
              <w:rPr>
                <w:rFonts w:ascii="Times New Roman"/>
                <w:sz w:val="20"/>
                <w:szCs w:val="20"/>
              </w:rPr>
              <w:t xml:space="preserve"> The scheme includes the construction of approx.</w:t>
            </w:r>
            <w:r w:rsidR="3F5603C2" w:rsidRPr="24E7C8D2">
              <w:rPr>
                <w:rFonts w:ascii="Times New Roman"/>
                <w:sz w:val="20"/>
                <w:szCs w:val="20"/>
              </w:rPr>
              <w:t xml:space="preserve"> </w:t>
            </w:r>
            <w:r w:rsidR="00497F86" w:rsidRPr="24E7C8D2">
              <w:rPr>
                <w:rFonts w:ascii="Times New Roman"/>
                <w:sz w:val="20"/>
                <w:szCs w:val="20"/>
              </w:rPr>
              <w:t>3.3km of single carriageway and 0.9 dual carriageway</w:t>
            </w:r>
            <w:r w:rsidR="02E09BA3" w:rsidRPr="24E7C8D2">
              <w:rPr>
                <w:rFonts w:ascii="Times New Roman"/>
                <w:sz w:val="20"/>
                <w:szCs w:val="20"/>
              </w:rPr>
              <w:t xml:space="preserve">, </w:t>
            </w:r>
            <w:r w:rsidR="3359B1D5" w:rsidRPr="24E7C8D2">
              <w:rPr>
                <w:rFonts w:ascii="Times New Roman"/>
                <w:sz w:val="20"/>
                <w:szCs w:val="20"/>
              </w:rPr>
              <w:t xml:space="preserve">with </w:t>
            </w:r>
            <w:r w:rsidR="00497F86" w:rsidRPr="24E7C8D2">
              <w:rPr>
                <w:rFonts w:ascii="Times New Roman"/>
                <w:sz w:val="20"/>
                <w:szCs w:val="20"/>
              </w:rPr>
              <w:t>new cycleways and footpath</w:t>
            </w:r>
            <w:r w:rsidR="20B2895F" w:rsidRPr="24E7C8D2">
              <w:rPr>
                <w:rFonts w:ascii="Times New Roman"/>
                <w:sz w:val="20"/>
                <w:szCs w:val="20"/>
              </w:rPr>
              <w:t>s</w:t>
            </w:r>
            <w:r w:rsidR="00497F86" w:rsidRPr="24E7C8D2">
              <w:rPr>
                <w:rFonts w:ascii="Times New Roman"/>
                <w:sz w:val="20"/>
                <w:szCs w:val="20"/>
              </w:rPr>
              <w:t xml:space="preserve"> on both sides</w:t>
            </w:r>
            <w:r w:rsidR="388307AC" w:rsidRPr="24E7C8D2">
              <w:rPr>
                <w:rFonts w:ascii="Times New Roman"/>
                <w:sz w:val="20"/>
                <w:szCs w:val="20"/>
              </w:rPr>
              <w:t>. It also involves the installation of</w:t>
            </w:r>
            <w:r w:rsidR="00497F86" w:rsidRPr="24E7C8D2">
              <w:rPr>
                <w:rFonts w:ascii="Times New Roman"/>
                <w:sz w:val="20"/>
                <w:szCs w:val="20"/>
              </w:rPr>
              <w:t xml:space="preserve"> </w:t>
            </w:r>
            <w:r w:rsidR="7FD69EA5" w:rsidRPr="24E7C8D2">
              <w:rPr>
                <w:rFonts w:ascii="Times New Roman"/>
                <w:sz w:val="20"/>
                <w:szCs w:val="20"/>
              </w:rPr>
              <w:t xml:space="preserve">substantial </w:t>
            </w:r>
            <w:r w:rsidR="00497F86" w:rsidRPr="24E7C8D2">
              <w:rPr>
                <w:rFonts w:ascii="Times New Roman"/>
                <w:sz w:val="20"/>
                <w:szCs w:val="20"/>
              </w:rPr>
              <w:t>surface water infrastructure, new utilities</w:t>
            </w:r>
            <w:r w:rsidR="12AFD679" w:rsidRPr="24E7C8D2">
              <w:rPr>
                <w:rFonts w:ascii="Times New Roman"/>
                <w:sz w:val="20"/>
                <w:szCs w:val="20"/>
              </w:rPr>
              <w:t>,</w:t>
            </w:r>
            <w:r w:rsidR="00497F86" w:rsidRPr="24E7C8D2">
              <w:rPr>
                <w:rFonts w:ascii="Times New Roman"/>
                <w:sz w:val="20"/>
                <w:szCs w:val="20"/>
              </w:rPr>
              <w:t xml:space="preserve"> </w:t>
            </w:r>
            <w:r w:rsidR="68FE4F1D" w:rsidRPr="24E7C8D2">
              <w:rPr>
                <w:rFonts w:ascii="Times New Roman"/>
                <w:sz w:val="20"/>
                <w:szCs w:val="20"/>
              </w:rPr>
              <w:t xml:space="preserve">traffic signals, </w:t>
            </w:r>
            <w:r w:rsidR="00497F86" w:rsidRPr="24E7C8D2">
              <w:rPr>
                <w:rFonts w:ascii="Times New Roman"/>
                <w:sz w:val="20"/>
                <w:szCs w:val="20"/>
              </w:rPr>
              <w:t xml:space="preserve">and </w:t>
            </w:r>
            <w:r w:rsidR="388D2F06" w:rsidRPr="24E7C8D2">
              <w:rPr>
                <w:rFonts w:ascii="Times New Roman"/>
                <w:sz w:val="20"/>
                <w:szCs w:val="20"/>
              </w:rPr>
              <w:t xml:space="preserve">associated </w:t>
            </w:r>
            <w:r w:rsidR="00497F86" w:rsidRPr="24E7C8D2">
              <w:rPr>
                <w:rFonts w:ascii="Times New Roman"/>
                <w:sz w:val="20"/>
                <w:szCs w:val="20"/>
              </w:rPr>
              <w:t>upgrad</w:t>
            </w:r>
            <w:r w:rsidR="12B0A6EB" w:rsidRPr="24E7C8D2">
              <w:rPr>
                <w:rFonts w:ascii="Times New Roman"/>
                <w:sz w:val="20"/>
                <w:szCs w:val="20"/>
              </w:rPr>
              <w:t>e</w:t>
            </w:r>
            <w:r w:rsidR="00497F86" w:rsidRPr="24E7C8D2">
              <w:rPr>
                <w:rFonts w:ascii="Times New Roman"/>
                <w:sz w:val="20"/>
                <w:szCs w:val="20"/>
              </w:rPr>
              <w:t xml:space="preserve"> works</w:t>
            </w:r>
            <w:r w:rsidR="04A12EC1" w:rsidRPr="24E7C8D2">
              <w:rPr>
                <w:rFonts w:ascii="Times New Roman"/>
                <w:sz w:val="20"/>
                <w:szCs w:val="20"/>
              </w:rPr>
              <w:t xml:space="preserve">. </w:t>
            </w:r>
            <w:r w:rsidR="15FDE3E0" w:rsidRPr="24E7C8D2">
              <w:rPr>
                <w:rFonts w:ascii="Times New Roman"/>
                <w:sz w:val="20"/>
                <w:szCs w:val="20"/>
              </w:rPr>
              <w:t xml:space="preserve"> </w:t>
            </w:r>
          </w:p>
        </w:tc>
      </w:tr>
      <w:tr w:rsidR="004A25C2" w14:paraId="01BBFADA" w14:textId="77777777" w:rsidTr="2C3BE24E">
        <w:trPr>
          <w:trHeight w:val="599"/>
        </w:trPr>
        <w:tc>
          <w:tcPr>
            <w:tcW w:w="4907" w:type="dxa"/>
          </w:tcPr>
          <w:p w14:paraId="0A85B80C" w14:textId="77777777" w:rsidR="004A25C2" w:rsidRDefault="004A25C2" w:rsidP="00851131">
            <w:pPr>
              <w:pStyle w:val="TableParagraph"/>
              <w:spacing w:before="65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Output Achieved to date</w:t>
            </w:r>
          </w:p>
          <w:p w14:paraId="46F26D1D" w14:textId="77777777" w:rsidR="004A25C2" w:rsidRDefault="004A25C2" w:rsidP="00851131">
            <w:pPr>
              <w:pStyle w:val="TableParagraph"/>
              <w:spacing w:before="66" w:line="214" w:lineRule="exact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 xml:space="preserve">(E.G. X kms of Roads, No of Units </w:t>
            </w:r>
            <w:proofErr w:type="spellStart"/>
            <w:r>
              <w:rPr>
                <w:rFonts w:ascii="Bookman Old Style"/>
                <w:sz w:val="20"/>
              </w:rPr>
              <w:t>etc</w:t>
            </w:r>
            <w:proofErr w:type="spellEnd"/>
            <w:r>
              <w:rPr>
                <w:rFonts w:ascii="Bookman Old Style"/>
                <w:sz w:val="20"/>
              </w:rPr>
              <w:t>)</w:t>
            </w:r>
          </w:p>
        </w:tc>
        <w:tc>
          <w:tcPr>
            <w:tcW w:w="4462" w:type="dxa"/>
          </w:tcPr>
          <w:p w14:paraId="5D50D9AF" w14:textId="23CCB672" w:rsidR="004A25C2" w:rsidRDefault="00497F86" w:rsidP="0085113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Works are mainly focused on the whole length of GDDR and part of GLDR with associated utility installations and carriageway constructions for the duration of 2024</w:t>
            </w:r>
          </w:p>
        </w:tc>
      </w:tr>
    </w:tbl>
    <w:p w14:paraId="23931C5E" w14:textId="77777777" w:rsidR="004A25C2" w:rsidRDefault="004A25C2" w:rsidP="004A25C2">
      <w:pPr>
        <w:pStyle w:val="BodyText"/>
        <w:spacing w:before="1"/>
        <w:rPr>
          <w:sz w:val="29"/>
        </w:rPr>
      </w:pPr>
    </w:p>
    <w:p w14:paraId="5DB40B34" w14:textId="77777777" w:rsidR="004A25C2" w:rsidRDefault="004A25C2" w:rsidP="004A25C2">
      <w:pPr>
        <w:pStyle w:val="BodyText"/>
        <w:ind w:left="260"/>
      </w:pPr>
      <w:r>
        <w:t>Notes:</w:t>
      </w:r>
    </w:p>
    <w:p w14:paraId="5F1EBE8D" w14:textId="77777777" w:rsidR="004A25C2" w:rsidRDefault="004A25C2" w:rsidP="004A25C2">
      <w:pPr>
        <w:pStyle w:val="ListParagraph"/>
        <w:numPr>
          <w:ilvl w:val="0"/>
          <w:numId w:val="1"/>
        </w:numPr>
        <w:tabs>
          <w:tab w:val="left" w:pos="980"/>
        </w:tabs>
        <w:spacing w:before="42" w:line="276" w:lineRule="auto"/>
        <w:ind w:right="130"/>
        <w:contextualSpacing w:val="0"/>
        <w:jc w:val="both"/>
      </w:pPr>
      <w:r>
        <w:t xml:space="preserve">The requirement to publish relates specifically to </w:t>
      </w:r>
      <w:r>
        <w:rPr>
          <w:u w:val="single"/>
        </w:rPr>
        <w:t>procurement</w:t>
      </w:r>
      <w:r>
        <w:t xml:space="preserve"> and not the project so where a project is reported at over €10m the interpretation here is that the project is examined and only the elements of that project that were the subject of a procurement process for a contract </w:t>
      </w:r>
      <w:proofErr w:type="gramStart"/>
      <w:r>
        <w:t>in excess of</w:t>
      </w:r>
      <w:proofErr w:type="gramEnd"/>
      <w:r>
        <w:t xml:space="preserve"> €10m </w:t>
      </w:r>
      <w:proofErr w:type="gramStart"/>
      <w:r>
        <w:t>needs  to</w:t>
      </w:r>
      <w:proofErr w:type="gramEnd"/>
      <w:r>
        <w:rPr>
          <w:spacing w:val="43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reported.</w:t>
      </w:r>
      <w:r>
        <w:rPr>
          <w:spacing w:val="11"/>
        </w:rPr>
        <w:t xml:space="preserve"> </w:t>
      </w:r>
      <w:proofErr w:type="gramStart"/>
      <w:r>
        <w:t>Therefore</w:t>
      </w:r>
      <w:proofErr w:type="gramEnd"/>
      <w:r>
        <w:rPr>
          <w:spacing w:val="43"/>
        </w:rPr>
        <w:t xml:space="preserve"> </w:t>
      </w:r>
      <w:r>
        <w:t>if</w:t>
      </w:r>
      <w:r>
        <w:rPr>
          <w:spacing w:val="40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project</w:t>
      </w:r>
      <w:r>
        <w:rPr>
          <w:spacing w:val="38"/>
        </w:rPr>
        <w:t xml:space="preserve"> </w:t>
      </w:r>
      <w:r>
        <w:t>with</w:t>
      </w:r>
      <w:r>
        <w:rPr>
          <w:spacing w:val="38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total</w:t>
      </w:r>
      <w:r>
        <w:rPr>
          <w:spacing w:val="41"/>
        </w:rPr>
        <w:t xml:space="preserve"> </w:t>
      </w:r>
      <w:r>
        <w:t>expenditure</w:t>
      </w:r>
      <w:r>
        <w:rPr>
          <w:spacing w:val="40"/>
        </w:rPr>
        <w:t xml:space="preserve"> </w:t>
      </w:r>
      <w:proofErr w:type="gramStart"/>
      <w:r>
        <w:t>in</w:t>
      </w:r>
      <w:r>
        <w:rPr>
          <w:spacing w:val="40"/>
        </w:rPr>
        <w:t xml:space="preserve"> </w:t>
      </w:r>
      <w:r>
        <w:t>excess</w:t>
      </w:r>
      <w:r>
        <w:rPr>
          <w:spacing w:val="38"/>
        </w:rPr>
        <w:t xml:space="preserve"> </w:t>
      </w:r>
      <w:r>
        <w:t>of</w:t>
      </w:r>
      <w:proofErr w:type="gramEnd"/>
    </w:p>
    <w:p w14:paraId="3981204F" w14:textId="77777777" w:rsidR="004A25C2" w:rsidRDefault="004A25C2" w:rsidP="004A25C2">
      <w:pPr>
        <w:pStyle w:val="BodyText"/>
        <w:spacing w:line="278" w:lineRule="auto"/>
        <w:ind w:left="980" w:right="130"/>
        <w:jc w:val="both"/>
      </w:pPr>
      <w:r>
        <w:lastRenderedPageBreak/>
        <w:t>€10m is made up of procurements assigning more than one contractor and none of these contracts exceed the €10m threshold then there is no requirement to include them in the list for publication.</w:t>
      </w:r>
    </w:p>
    <w:p w14:paraId="29C13E8F" w14:textId="77777777" w:rsidR="004A25C2" w:rsidRDefault="004A25C2" w:rsidP="004A25C2">
      <w:pPr>
        <w:pStyle w:val="ListParagraph"/>
        <w:numPr>
          <w:ilvl w:val="0"/>
          <w:numId w:val="1"/>
        </w:numPr>
        <w:tabs>
          <w:tab w:val="left" w:pos="980"/>
        </w:tabs>
        <w:spacing w:before="1"/>
        <w:contextualSpacing w:val="0"/>
        <w:jc w:val="both"/>
      </w:pPr>
      <w:r>
        <w:t>Year = Year of</w:t>
      </w:r>
      <w:r>
        <w:rPr>
          <w:spacing w:val="-8"/>
        </w:rPr>
        <w:t xml:space="preserve"> </w:t>
      </w:r>
      <w:r>
        <w:t>review</w:t>
      </w:r>
    </w:p>
    <w:p w14:paraId="7589AED7" w14:textId="77777777" w:rsidR="004A25C2" w:rsidRDefault="004A25C2" w:rsidP="004A25C2">
      <w:pPr>
        <w:pStyle w:val="ListParagraph"/>
        <w:numPr>
          <w:ilvl w:val="0"/>
          <w:numId w:val="1"/>
        </w:numPr>
        <w:tabs>
          <w:tab w:val="left" w:pos="980"/>
        </w:tabs>
        <w:spacing w:before="27"/>
        <w:contextualSpacing w:val="0"/>
        <w:jc w:val="both"/>
      </w:pPr>
      <w:r>
        <w:t>Parent Department = LA</w:t>
      </w:r>
      <w:r>
        <w:rPr>
          <w:spacing w:val="-5"/>
        </w:rPr>
        <w:t xml:space="preserve"> </w:t>
      </w:r>
      <w:r>
        <w:t>name</w:t>
      </w:r>
    </w:p>
    <w:p w14:paraId="5C19519F" w14:textId="77777777" w:rsidR="00CA0BAA" w:rsidRDefault="00CA0BAA"/>
    <w:sectPr w:rsidR="00CA0BAA" w:rsidSect="00B74F42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qX2fMWogA/hjs" int2:id="IPGSzqq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694C2F"/>
    <w:multiLevelType w:val="hybridMultilevel"/>
    <w:tmpl w:val="DC6472A0"/>
    <w:lvl w:ilvl="0" w:tplc="E9FABCC6">
      <w:numFmt w:val="bullet"/>
      <w:lvlText w:val="o"/>
      <w:lvlJc w:val="left"/>
      <w:pPr>
        <w:ind w:left="98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677C837A">
      <w:numFmt w:val="bullet"/>
      <w:lvlText w:val="•"/>
      <w:lvlJc w:val="left"/>
      <w:pPr>
        <w:ind w:left="1840" w:hanging="360"/>
      </w:pPr>
      <w:rPr>
        <w:rFonts w:hint="default"/>
      </w:rPr>
    </w:lvl>
    <w:lvl w:ilvl="2" w:tplc="5AC0E96C">
      <w:numFmt w:val="bullet"/>
      <w:lvlText w:val="•"/>
      <w:lvlJc w:val="left"/>
      <w:pPr>
        <w:ind w:left="2701" w:hanging="360"/>
      </w:pPr>
      <w:rPr>
        <w:rFonts w:hint="default"/>
      </w:rPr>
    </w:lvl>
    <w:lvl w:ilvl="3" w:tplc="808013D0">
      <w:numFmt w:val="bullet"/>
      <w:lvlText w:val="•"/>
      <w:lvlJc w:val="left"/>
      <w:pPr>
        <w:ind w:left="3561" w:hanging="360"/>
      </w:pPr>
      <w:rPr>
        <w:rFonts w:hint="default"/>
      </w:rPr>
    </w:lvl>
    <w:lvl w:ilvl="4" w:tplc="6532A132">
      <w:numFmt w:val="bullet"/>
      <w:lvlText w:val="•"/>
      <w:lvlJc w:val="left"/>
      <w:pPr>
        <w:ind w:left="4422" w:hanging="360"/>
      </w:pPr>
      <w:rPr>
        <w:rFonts w:hint="default"/>
      </w:rPr>
    </w:lvl>
    <w:lvl w:ilvl="5" w:tplc="A88817F0">
      <w:numFmt w:val="bullet"/>
      <w:lvlText w:val="•"/>
      <w:lvlJc w:val="left"/>
      <w:pPr>
        <w:ind w:left="5283" w:hanging="360"/>
      </w:pPr>
      <w:rPr>
        <w:rFonts w:hint="default"/>
      </w:rPr>
    </w:lvl>
    <w:lvl w:ilvl="6" w:tplc="9A4031BA">
      <w:numFmt w:val="bullet"/>
      <w:lvlText w:val="•"/>
      <w:lvlJc w:val="left"/>
      <w:pPr>
        <w:ind w:left="6143" w:hanging="360"/>
      </w:pPr>
      <w:rPr>
        <w:rFonts w:hint="default"/>
      </w:rPr>
    </w:lvl>
    <w:lvl w:ilvl="7" w:tplc="37308078">
      <w:numFmt w:val="bullet"/>
      <w:lvlText w:val="•"/>
      <w:lvlJc w:val="left"/>
      <w:pPr>
        <w:ind w:left="7004" w:hanging="360"/>
      </w:pPr>
      <w:rPr>
        <w:rFonts w:hint="default"/>
      </w:rPr>
    </w:lvl>
    <w:lvl w:ilvl="8" w:tplc="FE302898">
      <w:numFmt w:val="bullet"/>
      <w:lvlText w:val="•"/>
      <w:lvlJc w:val="left"/>
      <w:pPr>
        <w:ind w:left="7865" w:hanging="360"/>
      </w:pPr>
      <w:rPr>
        <w:rFonts w:hint="default"/>
      </w:rPr>
    </w:lvl>
  </w:abstractNum>
  <w:num w:numId="1" w16cid:durableId="1375883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C2"/>
    <w:rsid w:val="00046E4A"/>
    <w:rsid w:val="00110AB9"/>
    <w:rsid w:val="00160121"/>
    <w:rsid w:val="001B7103"/>
    <w:rsid w:val="002034AF"/>
    <w:rsid w:val="004875E8"/>
    <w:rsid w:val="00497F86"/>
    <w:rsid w:val="004A25C2"/>
    <w:rsid w:val="004F07F6"/>
    <w:rsid w:val="00532694"/>
    <w:rsid w:val="0057542D"/>
    <w:rsid w:val="00836186"/>
    <w:rsid w:val="008D274A"/>
    <w:rsid w:val="009222FA"/>
    <w:rsid w:val="00943C98"/>
    <w:rsid w:val="00AE6911"/>
    <w:rsid w:val="00B74F42"/>
    <w:rsid w:val="00B76FA9"/>
    <w:rsid w:val="00BC1BFE"/>
    <w:rsid w:val="00CA0BAA"/>
    <w:rsid w:val="00CD6839"/>
    <w:rsid w:val="00D81FAD"/>
    <w:rsid w:val="00E7573B"/>
    <w:rsid w:val="00EC3747"/>
    <w:rsid w:val="00F465F9"/>
    <w:rsid w:val="00F5534A"/>
    <w:rsid w:val="00F62733"/>
    <w:rsid w:val="00FB4D89"/>
    <w:rsid w:val="01C774F3"/>
    <w:rsid w:val="02E09BA3"/>
    <w:rsid w:val="03501B91"/>
    <w:rsid w:val="03B14C99"/>
    <w:rsid w:val="04A12EC1"/>
    <w:rsid w:val="064E3647"/>
    <w:rsid w:val="06BB923E"/>
    <w:rsid w:val="0824570B"/>
    <w:rsid w:val="0B2B17D8"/>
    <w:rsid w:val="0CA2A3B5"/>
    <w:rsid w:val="0E05A9C2"/>
    <w:rsid w:val="12AFD679"/>
    <w:rsid w:val="12B0A6EB"/>
    <w:rsid w:val="13266000"/>
    <w:rsid w:val="15FDE3E0"/>
    <w:rsid w:val="1687D462"/>
    <w:rsid w:val="1690D312"/>
    <w:rsid w:val="172A3F59"/>
    <w:rsid w:val="18177A58"/>
    <w:rsid w:val="18D0BDD0"/>
    <w:rsid w:val="1C2B7DEB"/>
    <w:rsid w:val="1DEB7585"/>
    <w:rsid w:val="20B2895F"/>
    <w:rsid w:val="211C3E0D"/>
    <w:rsid w:val="23C8374E"/>
    <w:rsid w:val="24009A36"/>
    <w:rsid w:val="24E7C8D2"/>
    <w:rsid w:val="252D4F78"/>
    <w:rsid w:val="271B59DA"/>
    <w:rsid w:val="2809727E"/>
    <w:rsid w:val="2822C7AD"/>
    <w:rsid w:val="28FE7528"/>
    <w:rsid w:val="2907B176"/>
    <w:rsid w:val="2C3BE24E"/>
    <w:rsid w:val="2D0BF6F8"/>
    <w:rsid w:val="2E713100"/>
    <w:rsid w:val="32188373"/>
    <w:rsid w:val="330117AA"/>
    <w:rsid w:val="3359B1D5"/>
    <w:rsid w:val="336C93E1"/>
    <w:rsid w:val="349FAD82"/>
    <w:rsid w:val="34B1EE34"/>
    <w:rsid w:val="35CCFE05"/>
    <w:rsid w:val="388307AC"/>
    <w:rsid w:val="388D2F06"/>
    <w:rsid w:val="39AD6FFA"/>
    <w:rsid w:val="3AD4481F"/>
    <w:rsid w:val="3C93E32D"/>
    <w:rsid w:val="3E5E760E"/>
    <w:rsid w:val="3F1DD800"/>
    <w:rsid w:val="3F5603C2"/>
    <w:rsid w:val="41916932"/>
    <w:rsid w:val="464CADC7"/>
    <w:rsid w:val="46A38AEE"/>
    <w:rsid w:val="46CD545F"/>
    <w:rsid w:val="47446611"/>
    <w:rsid w:val="4859DD66"/>
    <w:rsid w:val="4CEAFCEE"/>
    <w:rsid w:val="4F0D8B9C"/>
    <w:rsid w:val="5234C3F4"/>
    <w:rsid w:val="52351F3D"/>
    <w:rsid w:val="5357A140"/>
    <w:rsid w:val="53BA6034"/>
    <w:rsid w:val="54492485"/>
    <w:rsid w:val="54A22DE0"/>
    <w:rsid w:val="55599BC1"/>
    <w:rsid w:val="57F952F9"/>
    <w:rsid w:val="5967AF9A"/>
    <w:rsid w:val="5C2F3F39"/>
    <w:rsid w:val="5C65CEF3"/>
    <w:rsid w:val="5CD35226"/>
    <w:rsid w:val="5DAB72EB"/>
    <w:rsid w:val="5FBC0FB2"/>
    <w:rsid w:val="6042626A"/>
    <w:rsid w:val="62929F9F"/>
    <w:rsid w:val="647EA37F"/>
    <w:rsid w:val="650F5526"/>
    <w:rsid w:val="65323AF4"/>
    <w:rsid w:val="65EAD42B"/>
    <w:rsid w:val="68B5C9C2"/>
    <w:rsid w:val="68DC8BC7"/>
    <w:rsid w:val="68FE4F1D"/>
    <w:rsid w:val="69137E22"/>
    <w:rsid w:val="6A364F81"/>
    <w:rsid w:val="6B8E813E"/>
    <w:rsid w:val="6C38AB6A"/>
    <w:rsid w:val="7609D5BB"/>
    <w:rsid w:val="762F54E1"/>
    <w:rsid w:val="76A5602B"/>
    <w:rsid w:val="79D44623"/>
    <w:rsid w:val="7C0126A9"/>
    <w:rsid w:val="7D8DA0AC"/>
    <w:rsid w:val="7DA42545"/>
    <w:rsid w:val="7FD69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EFC7D"/>
  <w15:chartTrackingRefBased/>
  <w15:docId w15:val="{BAC2FA12-B899-4267-BDBD-FEADA622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5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5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5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5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25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5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25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25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25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2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5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5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5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5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5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25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25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25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5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25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2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25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4A25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25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5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25C2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A25C2"/>
    <w:rPr>
      <w:rFonts w:ascii="Bookman Old Style" w:eastAsia="Bookman Old Style" w:hAnsi="Bookman Old Style" w:cs="Bookman Old Style"/>
    </w:rPr>
  </w:style>
  <w:style w:type="character" w:customStyle="1" w:styleId="BodyTextChar">
    <w:name w:val="Body Text Char"/>
    <w:basedOn w:val="DefaultParagraphFont"/>
    <w:link w:val="BodyText"/>
    <w:uiPriority w:val="1"/>
    <w:rsid w:val="004A25C2"/>
    <w:rPr>
      <w:rFonts w:ascii="Bookman Old Style" w:eastAsia="Bookman Old Style" w:hAnsi="Bookman Old Style" w:cs="Bookman Old Style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A2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RefNumber xmlns="58e8b11a-4558-4133-94cf-45060ae74664" xsi:nil="true"/>
    <occ46078cf3d4be1b6099b290ced16b5 xmlns="58e8b11a-4558-4133-94cf-45060ae74664">
      <Terms xmlns="http://schemas.microsoft.com/office/infopath/2007/PartnerControls"/>
    </occ46078cf3d4be1b6099b290ced16b5>
    <Active xmlns="b4836943-7c81-4d6d-b502-ca01668e8e83">true</Active>
    <FileComments xmlns="58e8b11a-4558-4133-94cf-45060ae74664" xsi:nil="true"/>
    <DocSetName xmlns="741afaa6-9453-446f-a425-74531b16a762">dlr746-00022-2021</DocSetName>
    <eFolderAction xmlns="b4836943-7c81-4d6d-b502-ca01668e8e83" xsi:nil="true"/>
    <Contact xmlns="7dbb8137-e622-49be-9a75-88c4286c469e">
      <UserInfo>
        <DisplayName>Luis Morgado [STORM]</DisplayName>
        <AccountId>15</AccountId>
        <AccountType/>
      </UserInfo>
    </Contact>
    <TaxCatchAll xmlns="7dbb8137-e622-49be-9a75-88c4286c469e" xsi:nil="true"/>
    <bcf6564c3bf64b598722f14494f25d82 xmlns="741afaa6-9453-446f-a425-74531b16a762">
      <Terms xmlns="http://schemas.microsoft.com/office/infopath/2007/PartnerControls"/>
    </bcf6564c3bf64b598722f14494f25d82>
    <lcf76f155ced4ddcb4097134ff3c332f xmlns="b4836943-7c81-4d6d-b502-ca01668e8e8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9D196A300E746A7CE14BEEDD3A51A" ma:contentTypeVersion="28" ma:contentTypeDescription="Create a new document." ma:contentTypeScope="" ma:versionID="3788627e133785dfec255b952b47c7f4">
  <xsd:schema xmlns:xsd="http://www.w3.org/2001/XMLSchema" xmlns:xs="http://www.w3.org/2001/XMLSchema" xmlns:p="http://schemas.microsoft.com/office/2006/metadata/properties" xmlns:ns2="58e8b11a-4558-4133-94cf-45060ae74664" xmlns:ns3="7dbb8137-e622-49be-9a75-88c4286c469e" xmlns:ns4="741afaa6-9453-446f-a425-74531b16a762" xmlns:ns5="b4836943-7c81-4d6d-b502-ca01668e8e83" targetNamespace="http://schemas.microsoft.com/office/2006/metadata/properties" ma:root="true" ma:fieldsID="1f0314914415a17240c32bd04e3e13f7" ns2:_="" ns3:_="" ns4:_="" ns5:_="">
    <xsd:import namespace="58e8b11a-4558-4133-94cf-45060ae74664"/>
    <xsd:import namespace="7dbb8137-e622-49be-9a75-88c4286c469e"/>
    <xsd:import namespace="741afaa6-9453-446f-a425-74531b16a762"/>
    <xsd:import namespace="b4836943-7c81-4d6d-b502-ca01668e8e83"/>
    <xsd:element name="properties">
      <xsd:complexType>
        <xsd:sequence>
          <xsd:element name="documentManagement">
            <xsd:complexType>
              <xsd:all>
                <xsd:element ref="ns2:FileRefNumber" minOccurs="0"/>
                <xsd:element ref="ns2:FileComments" minOccurs="0"/>
                <xsd:element ref="ns3:Contact" minOccurs="0"/>
                <xsd:element ref="ns3:TaxCatchAll" minOccurs="0"/>
                <xsd:element ref="ns3:TaxCatchAllLabel" minOccurs="0"/>
                <xsd:element ref="ns4:bcf6564c3bf64b598722f14494f25d82" minOccurs="0"/>
                <xsd:element ref="ns2:occ46078cf3d4be1b6099b290ced16b5" minOccurs="0"/>
                <xsd:element ref="ns4:DocSetName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  <xsd:element ref="ns3:SharedWithUsers" minOccurs="0"/>
                <xsd:element ref="ns3:SharedWithDetails" minOccurs="0"/>
                <xsd:element ref="ns5:lcf76f155ced4ddcb4097134ff3c332f" minOccurs="0"/>
                <xsd:element ref="ns5:Active" minOccurs="0"/>
                <xsd:element ref="ns5:MediaServiceObjectDetectorVersions" minOccurs="0"/>
                <xsd:element ref="ns5:eFolderAction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FileRefNumber" ma:index="1" nillable="true" ma:displayName="File Ref" ma:description="" ma:indexed="true" ma:internalName="FileRefNumber" ma:readOnly="false">
      <xsd:simpleType>
        <xsd:restriction base="dms:Text">
          <xsd:maxLength value="50"/>
        </xsd:restriction>
      </xsd:simpleType>
    </xsd:element>
    <xsd:element name="FileComments" ma:index="2" nillable="true" ma:displayName="Comments" ma:description="" ma:internalName="FileComments" ma:readOnly="false">
      <xsd:simpleType>
        <xsd:restriction base="dms:Note">
          <xsd:maxLength value="255"/>
        </xsd:restriction>
      </xsd:simpleType>
    </xsd:element>
    <xsd:element name="occ46078cf3d4be1b6099b290ced16b5" ma:index="11" nillable="true" ma:taxonomy="true" ma:internalName="occ46078cf3d4be1b6099b290ced16b5" ma:taxonomyFieldName="FileTags" ma:displayName="Tags" ma:readOnly="false" ma:default="" ma:fieldId="{8cc46078-cf3d-4be1-b609-9b290ced16b5}" ma:taxonomyMulti="true" ma:sspId="4d6b322c-bc7c-4716-b6d1-786b4dc958f8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b8137-e622-49be-9a75-88c4286c469e" elementFormDefault="qualified">
    <xsd:import namespace="http://schemas.microsoft.com/office/2006/documentManagement/types"/>
    <xsd:import namespace="http://schemas.microsoft.com/office/infopath/2007/PartnerControls"/>
    <xsd:element name="Contact" ma:index="5" nillable="true" ma:displayName="Contact" ma:list="UserInfo" ma:SharePointGroup="0" ma:internalName="Contact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8" nillable="true" ma:displayName="Taxonomy Catch All Column" ma:hidden="true" ma:list="{5a39820c-b092-48f5-935d-145fcabe38b1}" ma:internalName="TaxCatchAll" ma:readOnly="false" ma:showField="CatchAllData" ma:web="7dbb8137-e622-49be-9a75-88c4286c46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a39820c-b092-48f5-935d-145fcabe38b1}" ma:internalName="TaxCatchAllLabel" ma:readOnly="true" ma:showField="CatchAllDataLabel" ma:web="7dbb8137-e622-49be-9a75-88c4286c46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readOnly="false" ma:default="" ma:fieldId="{bcf6564c-3bf6-4b59-8722-f14494f25d82}" ma:taxonomyMulti="true" ma:sspId="4d6b322c-bc7c-4716-b6d1-786b4dc958f8" ma:termSetId="7dd76a83-3c80-4afe-805c-b20a915957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hidden="true" ma:indexed="true" ma:internalName="DocSet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36943-7c81-4d6d-b502-ca01668e8e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22" nillable="true" ma:displayName="Tags" ma:hidden="true" ma:internalName="MediaServiceAutoTags" ma:readOnly="true">
      <xsd:simpleType>
        <xsd:restriction base="dms:Text"/>
      </xsd:simpleType>
    </xsd:element>
    <xsd:element name="MediaServiceOCR" ma:index="2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4d6b322c-bc7c-4716-b6d1-786b4dc9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ctive" ma:index="33" nillable="true" ma:displayName="Active" ma:default="1" ma:description="Is the project active? Yes&#10;Project Closed - No" ma:format="Dropdown" ma:internalName="Active">
      <xsd:simpleType>
        <xsd:restriction base="dms:Boolean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FolderAction" ma:index="35" nillable="true" ma:displayName="eFolderAction" ma:hidden="true" ma:internalName="eFolderAction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97F9C5-CFCB-490B-B574-94BEE2BF8D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E5E417-B74F-48BB-8247-E9D20C0C67BB}">
  <ds:schemaRefs>
    <ds:schemaRef ds:uri="http://schemas.microsoft.com/office/2006/documentManagement/types"/>
    <ds:schemaRef ds:uri="http://purl.org/dc/terms/"/>
    <ds:schemaRef ds:uri="7dbb8137-e622-49be-9a75-88c4286c469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8e8b11a-4558-4133-94cf-45060ae74664"/>
    <ds:schemaRef ds:uri="http://purl.org/dc/elements/1.1/"/>
    <ds:schemaRef ds:uri="http://schemas.microsoft.com/office/2006/metadata/properties"/>
    <ds:schemaRef ds:uri="b4836943-7c81-4d6d-b502-ca01668e8e83"/>
    <ds:schemaRef ds:uri="741afaa6-9453-446f-a425-74531b16a76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25BFF01-7898-4AFB-9F92-6598C2F01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8b11a-4558-4133-94cf-45060ae74664"/>
    <ds:schemaRef ds:uri="7dbb8137-e622-49be-9a75-88c4286c469e"/>
    <ds:schemaRef ds:uri="741afaa6-9453-446f-a425-74531b16a762"/>
    <ds:schemaRef ds:uri="b4836943-7c81-4d6d-b502-ca01668e8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2347</Characters>
  <Application>Microsoft Office Word</Application>
  <DocSecurity>4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Creasey Mary</dc:creator>
  <cp:keywords/>
  <dc:description/>
  <cp:lastModifiedBy>Kelly Eoin</cp:lastModifiedBy>
  <cp:revision>2</cp:revision>
  <dcterms:created xsi:type="dcterms:W3CDTF">2025-05-30T10:36:00Z</dcterms:created>
  <dcterms:modified xsi:type="dcterms:W3CDTF">2025-05-30T10:36:00Z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0x010100A369D196A300E746A7CE14BEEDD3A51A</vt:lpwstr>
  </property>
  <property fmtid="{D5CDD505-2E9C-101B-9397-08002B2CF9AE}" pid="3" name="FileTags">
    <vt:lpwstr/>
  </property>
  <property fmtid="{D5CDD505-2E9C-101B-9397-08002B2CF9AE}" pid="4" name="Topics">
    <vt:lpwstr/>
  </property>
  <property fmtid="{D5CDD505-2E9C-101B-9397-08002B2CF9AE}" pid="5" name="j41705f41b484be79a4701ce32a6245b">
    <vt:lpwstr/>
  </property>
  <property fmtid="{D5CDD505-2E9C-101B-9397-08002B2CF9AE}" pid="6" name="edrms_484b68d65ecc">
    <vt:lpwstr/>
  </property>
  <property fmtid="{D5CDD505-2E9C-101B-9397-08002B2CF9AE}" pid="7" name="edrms_651b706dfa63">
    <vt:lpwstr/>
  </property>
  <property fmtid="{D5CDD505-2E9C-101B-9397-08002B2CF9AE}" pid="8" name="MediaServiceImageTags">
    <vt:lpwstr/>
  </property>
  <property fmtid="{D5CDD505-2E9C-101B-9397-08002B2CF9AE}" pid="9" name="cb385f86cd49430d8880981a0303b099">
    <vt:lpwstr/>
  </property>
</Properties>
</file>